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D86" w:rsidRPr="00014D86" w:rsidRDefault="00014D86" w:rsidP="00014D86">
      <w:pPr>
        <w:pStyle w:val="afb"/>
        <w:ind w:left="0" w:firstLine="0"/>
        <w:rPr>
          <w:rFonts w:ascii="Arial" w:hAnsi="Arial" w:cs="Arial"/>
          <w:bCs/>
          <w:szCs w:val="24"/>
        </w:rPr>
      </w:pPr>
      <w:r w:rsidRPr="00014D86">
        <w:rPr>
          <w:rFonts w:ascii="Arial" w:hAnsi="Arial" w:cs="Arial"/>
          <w:bCs/>
          <w:szCs w:val="24"/>
          <w:lang w:val="en-US"/>
        </w:rPr>
        <w:t>3GPP TSG-RAN WG4 Meeting # 101-bis-e</w:t>
      </w:r>
      <w:r w:rsidRPr="00014D86">
        <w:rPr>
          <w:rFonts w:ascii="Arial" w:hAnsi="Arial" w:cs="Arial"/>
          <w:bCs/>
          <w:szCs w:val="24"/>
        </w:rPr>
        <w:t xml:space="preserve"> </w:t>
      </w:r>
      <w:r w:rsidRPr="00014D86">
        <w:rPr>
          <w:rFonts w:ascii="Arial" w:hAnsi="Arial" w:cs="Arial"/>
          <w:bCs/>
          <w:szCs w:val="24"/>
          <w:lang w:val="en-US"/>
        </w:rPr>
        <w:tab/>
      </w:r>
      <w:r>
        <w:rPr>
          <w:rFonts w:ascii="Arial" w:hAnsi="Arial" w:cs="Arial" w:hint="eastAsia"/>
          <w:bCs/>
          <w:szCs w:val="24"/>
          <w:lang w:val="en-US"/>
        </w:rPr>
        <w:tab/>
        <w:t xml:space="preserve">                       </w:t>
      </w:r>
      <w:r w:rsidR="004314DB" w:rsidRPr="004314DB">
        <w:rPr>
          <w:rFonts w:ascii="Arial" w:hAnsi="Arial" w:cs="Arial"/>
          <w:bCs/>
          <w:szCs w:val="24"/>
          <w:lang w:val="en-US"/>
        </w:rPr>
        <w:t>R4-2200150</w:t>
      </w:r>
    </w:p>
    <w:p w:rsidR="00014D86" w:rsidRPr="00014D86" w:rsidRDefault="00014D86" w:rsidP="00014D86">
      <w:pPr>
        <w:pStyle w:val="afb"/>
        <w:rPr>
          <w:rFonts w:ascii="Arial" w:hAnsi="Arial" w:cs="Arial"/>
          <w:bCs/>
          <w:szCs w:val="24"/>
          <w:lang w:val="en-US"/>
        </w:rPr>
      </w:pPr>
      <w:r w:rsidRPr="00014D86">
        <w:rPr>
          <w:rFonts w:ascii="Arial" w:hAnsi="Arial" w:cs="Arial"/>
          <w:bCs/>
          <w:szCs w:val="24"/>
          <w:lang w:val="en-US"/>
        </w:rPr>
        <w:t>Electronic Meeting, January 17-25, 2022</w:t>
      </w:r>
    </w:p>
    <w:p w:rsidR="00014D86" w:rsidRPr="00014D86" w:rsidRDefault="00014D86" w:rsidP="002D056F">
      <w:pPr>
        <w:pStyle w:val="afb"/>
        <w:rPr>
          <w:rFonts w:ascii="Arial" w:hAnsi="Arial" w:cs="Arial"/>
          <w:bCs/>
          <w:szCs w:val="24"/>
          <w:lang w:val="en-US"/>
        </w:rPr>
      </w:pPr>
    </w:p>
    <w:p w:rsidR="00A63EF1" w:rsidRPr="00B7762E" w:rsidRDefault="00A63EF1" w:rsidP="00A63EF1">
      <w:pPr>
        <w:pStyle w:val="afb"/>
        <w:spacing w:before="0" w:after="0" w:line="360" w:lineRule="auto"/>
        <w:rPr>
          <w:rFonts w:ascii="Arial" w:hAnsi="Arial" w:cs="Arial"/>
        </w:rPr>
      </w:pPr>
      <w:r w:rsidRPr="00B7762E">
        <w:rPr>
          <w:rFonts w:ascii="Arial" w:hAnsi="Arial" w:cs="Arial"/>
        </w:rPr>
        <w:t xml:space="preserve">Title: </w:t>
      </w:r>
      <w:r w:rsidRPr="00B7762E">
        <w:rPr>
          <w:rFonts w:ascii="Arial" w:hAnsi="Arial" w:cs="Arial"/>
        </w:rPr>
        <w:tab/>
      </w:r>
      <w:r w:rsidR="00D34A27">
        <w:rPr>
          <w:rFonts w:ascii="Arial" w:hAnsi="Arial" w:cs="Arial" w:hint="eastAsia"/>
        </w:rPr>
        <w:t>Discussion o</w:t>
      </w:r>
      <w:r w:rsidR="00B71F1C" w:rsidRPr="00B7762E">
        <w:rPr>
          <w:rFonts w:ascii="Arial" w:hAnsi="Arial" w:cs="Arial"/>
        </w:rPr>
        <w:t xml:space="preserve">n </w:t>
      </w:r>
      <w:r w:rsidR="005D1B35">
        <w:rPr>
          <w:rFonts w:ascii="Arial" w:hAnsi="Arial" w:cs="Arial" w:hint="eastAsia"/>
        </w:rPr>
        <w:t>UE RF requirements for 6GHz licensed band</w:t>
      </w:r>
    </w:p>
    <w:p w:rsidR="00C34497" w:rsidRPr="00B7762E" w:rsidRDefault="00C34497" w:rsidP="00A63EF1">
      <w:pPr>
        <w:pStyle w:val="afb"/>
        <w:spacing w:before="0" w:after="0" w:line="360" w:lineRule="auto"/>
        <w:rPr>
          <w:rFonts w:ascii="Arial" w:hAnsi="Arial" w:cs="Arial"/>
        </w:rPr>
      </w:pPr>
      <w:r w:rsidRPr="00B7762E">
        <w:rPr>
          <w:rFonts w:ascii="Arial" w:hAnsi="Arial" w:cs="Arial"/>
        </w:rPr>
        <w:t xml:space="preserve">Source: </w:t>
      </w:r>
      <w:r w:rsidRPr="00B7762E">
        <w:rPr>
          <w:rFonts w:ascii="Arial" w:hAnsi="Arial" w:cs="Arial"/>
        </w:rPr>
        <w:tab/>
      </w:r>
      <w:r w:rsidRPr="00B7762E">
        <w:rPr>
          <w:rFonts w:ascii="Arial" w:hAnsi="Arial" w:cs="Arial" w:hint="eastAsia"/>
        </w:rPr>
        <w:t>CATT</w:t>
      </w:r>
    </w:p>
    <w:p w:rsidR="00C34497" w:rsidRPr="00B7762E" w:rsidRDefault="00C34497" w:rsidP="00A63EF1">
      <w:pPr>
        <w:pStyle w:val="afb"/>
        <w:spacing w:before="0" w:after="0" w:line="360" w:lineRule="auto"/>
        <w:rPr>
          <w:rFonts w:ascii="Arial" w:hAnsi="Arial" w:cs="Arial"/>
        </w:rPr>
      </w:pPr>
      <w:r w:rsidRPr="00B7762E">
        <w:rPr>
          <w:rFonts w:ascii="Arial" w:hAnsi="Arial" w:cs="Arial"/>
        </w:rPr>
        <w:t>Agenda item:</w:t>
      </w:r>
      <w:r w:rsidRPr="00B7762E">
        <w:rPr>
          <w:rFonts w:ascii="Arial" w:hAnsi="Arial" w:cs="Arial"/>
        </w:rPr>
        <w:tab/>
      </w:r>
      <w:r w:rsidR="004314DB">
        <w:rPr>
          <w:rFonts w:ascii="Arial" w:hAnsi="Arial" w:cs="Arial" w:hint="eastAsia"/>
        </w:rPr>
        <w:t>5.3.3</w:t>
      </w:r>
      <w:bookmarkStart w:id="0" w:name="_GoBack"/>
      <w:bookmarkEnd w:id="0"/>
    </w:p>
    <w:p w:rsidR="00012868" w:rsidRPr="00B7762E" w:rsidRDefault="00C34497" w:rsidP="00F61A83">
      <w:pPr>
        <w:pStyle w:val="afb"/>
        <w:spacing w:before="0" w:after="0" w:line="360" w:lineRule="auto"/>
        <w:rPr>
          <w:rFonts w:ascii="Arial" w:hAnsi="Arial" w:cs="Arial"/>
        </w:rPr>
      </w:pPr>
      <w:r w:rsidRPr="00B7762E">
        <w:rPr>
          <w:rFonts w:ascii="Arial" w:hAnsi="Arial" w:cs="Arial"/>
        </w:rPr>
        <w:t>Document for:</w:t>
      </w:r>
      <w:r w:rsidRPr="00B7762E">
        <w:rPr>
          <w:rFonts w:ascii="Arial" w:hAnsi="Arial" w:cs="Arial"/>
        </w:rPr>
        <w:tab/>
      </w:r>
      <w:bookmarkStart w:id="1" w:name="DocumentFor"/>
      <w:bookmarkEnd w:id="1"/>
      <w:r w:rsidR="00331ED1" w:rsidRPr="00B7762E">
        <w:rPr>
          <w:rFonts w:ascii="Arial" w:hAnsi="Arial" w:cs="Arial" w:hint="eastAsia"/>
        </w:rPr>
        <w:t>Approval</w:t>
      </w:r>
    </w:p>
    <w:p w:rsidR="005C1E64" w:rsidRPr="00DF4F62" w:rsidRDefault="00752C60"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BA5F60" w:rsidRPr="00F57B7D" w:rsidRDefault="00BA5F60" w:rsidP="004C4C7A">
      <w:pPr>
        <w:spacing w:before="0" w:after="120"/>
        <w:jc w:val="left"/>
        <w:rPr>
          <w:sz w:val="20"/>
        </w:rPr>
      </w:pPr>
      <w:r>
        <w:rPr>
          <w:rFonts w:hint="eastAsia"/>
          <w:sz w:val="20"/>
        </w:rPr>
        <w:t>In RAN#94-e meeting, a WI on introduction of 6GHz NR licensed bands was approved [1]. This contribut</w:t>
      </w:r>
      <w:r w:rsidR="00F57B7D">
        <w:rPr>
          <w:rFonts w:hint="eastAsia"/>
          <w:sz w:val="20"/>
        </w:rPr>
        <w:t>ion will provide analysis on</w:t>
      </w:r>
      <w:r>
        <w:rPr>
          <w:rFonts w:hint="eastAsia"/>
          <w:sz w:val="20"/>
        </w:rPr>
        <w:t xml:space="preserve"> </w:t>
      </w:r>
      <w:r w:rsidR="00F57B7D">
        <w:rPr>
          <w:rFonts w:hint="eastAsia"/>
          <w:sz w:val="20"/>
        </w:rPr>
        <w:t>UE RF requirements</w:t>
      </w:r>
      <w:r>
        <w:rPr>
          <w:rFonts w:hint="eastAsia"/>
          <w:sz w:val="20"/>
        </w:rPr>
        <w:t xml:space="preserve"> of 6GHz NR licensed bands.</w:t>
      </w:r>
    </w:p>
    <w:p w:rsidR="00417EBC" w:rsidRDefault="004B3EE8"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053B8F" w:rsidRPr="00355FD5" w:rsidRDefault="00053B8F" w:rsidP="00355FD5">
      <w:pPr>
        <w:rPr>
          <w:b/>
          <w:sz w:val="20"/>
          <w:szCs w:val="20"/>
          <w:u w:val="single"/>
        </w:rPr>
      </w:pPr>
      <w:r w:rsidRPr="00355FD5">
        <w:rPr>
          <w:rFonts w:hint="eastAsia"/>
          <w:b/>
          <w:sz w:val="20"/>
          <w:szCs w:val="20"/>
          <w:u w:val="single"/>
        </w:rPr>
        <w:t>Transmitter power</w:t>
      </w:r>
    </w:p>
    <w:p w:rsidR="00C0724E" w:rsidRPr="006326D4" w:rsidRDefault="00C0724E" w:rsidP="00C0724E">
      <w:pPr>
        <w:rPr>
          <w:sz w:val="20"/>
          <w:szCs w:val="20"/>
        </w:rPr>
      </w:pPr>
      <w:r w:rsidRPr="006326D4">
        <w:rPr>
          <w:rFonts w:hint="eastAsia"/>
          <w:sz w:val="20"/>
          <w:szCs w:val="20"/>
        </w:rPr>
        <w:t>RCC has the following recommendation on maximum output power.</w:t>
      </w:r>
    </w:p>
    <w:tbl>
      <w:tblPr>
        <w:tblStyle w:val="af8"/>
        <w:tblW w:w="0" w:type="auto"/>
        <w:jc w:val="center"/>
        <w:tblInd w:w="420" w:type="dxa"/>
        <w:tblLook w:val="04A0" w:firstRow="1" w:lastRow="0" w:firstColumn="1" w:lastColumn="0" w:noHBand="0" w:noVBand="1"/>
      </w:tblPr>
      <w:tblGrid>
        <w:gridCol w:w="9435"/>
      </w:tblGrid>
      <w:tr w:rsidR="00C0724E" w:rsidRPr="006326D4" w:rsidTr="006326D4">
        <w:trPr>
          <w:jc w:val="center"/>
        </w:trPr>
        <w:tc>
          <w:tcPr>
            <w:tcW w:w="9855" w:type="dxa"/>
          </w:tcPr>
          <w:p w:rsidR="00C0724E" w:rsidRPr="006326D4" w:rsidRDefault="00C0724E" w:rsidP="00C0724E">
            <w:pPr>
              <w:pStyle w:val="afa"/>
              <w:ind w:firstLineChars="0" w:firstLine="0"/>
              <w:rPr>
                <w:sz w:val="20"/>
                <w:szCs w:val="20"/>
                <w:lang w:val="en-US"/>
              </w:rPr>
            </w:pPr>
            <w:r w:rsidRPr="006326D4">
              <w:rPr>
                <w:sz w:val="20"/>
                <w:szCs w:val="20"/>
                <w:lang w:val="en-US"/>
              </w:rPr>
              <w:t>The power of 5G-NR/IMT-2020 base stations and user equipment should not exceed the limits established by Article 21of the Radio Regulations for the radio frequency band 6425-7125.</w:t>
            </w:r>
          </w:p>
        </w:tc>
      </w:tr>
    </w:tbl>
    <w:p w:rsidR="00C0724E" w:rsidRPr="006326D4" w:rsidRDefault="006326D4" w:rsidP="002E0E14">
      <w:pPr>
        <w:rPr>
          <w:sz w:val="20"/>
          <w:szCs w:val="20"/>
        </w:rPr>
      </w:pPr>
      <w:r w:rsidRPr="006326D4">
        <w:rPr>
          <w:rFonts w:hint="eastAsia"/>
          <w:sz w:val="20"/>
          <w:szCs w:val="20"/>
        </w:rPr>
        <w:t xml:space="preserve">Together with TR 38.921, it is proposed that PC3 (23dBm) is introduced as a starting point for the frequency </w:t>
      </w:r>
      <w:r w:rsidR="000E6904">
        <w:rPr>
          <w:rFonts w:hint="eastAsia"/>
          <w:sz w:val="20"/>
          <w:szCs w:val="20"/>
        </w:rPr>
        <w:t>range of 6425</w:t>
      </w:r>
      <w:r w:rsidRPr="006326D4">
        <w:rPr>
          <w:rFonts w:hint="eastAsia"/>
          <w:sz w:val="20"/>
          <w:szCs w:val="20"/>
        </w:rPr>
        <w:t xml:space="preserve">-7125MHz. Other UE power classes are not </w:t>
      </w:r>
      <w:r w:rsidRPr="006326D4">
        <w:rPr>
          <w:sz w:val="20"/>
          <w:szCs w:val="20"/>
        </w:rPr>
        <w:t>preclude</w:t>
      </w:r>
      <w:r w:rsidRPr="006326D4">
        <w:rPr>
          <w:rFonts w:hint="eastAsia"/>
          <w:sz w:val="20"/>
          <w:szCs w:val="20"/>
        </w:rPr>
        <w:t>d.</w:t>
      </w:r>
    </w:p>
    <w:p w:rsidR="006326D4" w:rsidRDefault="006326D4" w:rsidP="002E0E14">
      <w:pPr>
        <w:rPr>
          <w:b/>
          <w:sz w:val="20"/>
          <w:szCs w:val="20"/>
        </w:rPr>
      </w:pPr>
      <w:r w:rsidRPr="006326D4">
        <w:rPr>
          <w:rFonts w:hint="eastAsia"/>
          <w:b/>
          <w:sz w:val="20"/>
          <w:szCs w:val="20"/>
        </w:rPr>
        <w:t xml:space="preserve">Proposal 1: To introduce PC3 (23dBm) maximum output power as a starting point </w:t>
      </w:r>
      <w:r w:rsidR="000E6904">
        <w:rPr>
          <w:rFonts w:hint="eastAsia"/>
          <w:b/>
          <w:sz w:val="20"/>
          <w:szCs w:val="20"/>
        </w:rPr>
        <w:t>f</w:t>
      </w:r>
      <w:r w:rsidR="00F604B7">
        <w:rPr>
          <w:b/>
          <w:sz w:val="20"/>
          <w:szCs w:val="20"/>
        </w:rPr>
        <w:t>or</w:t>
      </w:r>
      <w:r w:rsidR="00F604B7">
        <w:rPr>
          <w:rFonts w:hint="eastAsia"/>
          <w:b/>
          <w:sz w:val="20"/>
          <w:szCs w:val="20"/>
        </w:rPr>
        <w:t xml:space="preserve"> </w:t>
      </w:r>
      <w:r w:rsidRPr="006326D4">
        <w:rPr>
          <w:b/>
          <w:sz w:val="20"/>
          <w:szCs w:val="20"/>
        </w:rPr>
        <w:t>6425 -7125MHz.</w:t>
      </w:r>
    </w:p>
    <w:p w:rsidR="00687E86" w:rsidRDefault="00687E86" w:rsidP="002E0E14">
      <w:pPr>
        <w:rPr>
          <w:b/>
          <w:sz w:val="20"/>
          <w:szCs w:val="20"/>
        </w:rPr>
      </w:pPr>
    </w:p>
    <w:p w:rsidR="00053B8F" w:rsidRPr="00355FD5" w:rsidRDefault="00053B8F" w:rsidP="00355FD5">
      <w:pPr>
        <w:rPr>
          <w:b/>
          <w:sz w:val="20"/>
          <w:szCs w:val="20"/>
          <w:u w:val="single"/>
        </w:rPr>
      </w:pPr>
      <w:r w:rsidRPr="00355FD5">
        <w:rPr>
          <w:rFonts w:hint="eastAsia"/>
          <w:b/>
          <w:sz w:val="20"/>
          <w:szCs w:val="20"/>
          <w:u w:val="single"/>
        </w:rPr>
        <w:t>Output power dynamics</w:t>
      </w:r>
    </w:p>
    <w:p w:rsidR="006B1ABB" w:rsidRDefault="006B1ABB" w:rsidP="006B1ABB">
      <w:pPr>
        <w:rPr>
          <w:sz w:val="20"/>
          <w:szCs w:val="20"/>
        </w:rPr>
      </w:pPr>
      <w:r>
        <w:rPr>
          <w:rFonts w:hint="eastAsia"/>
          <w:sz w:val="20"/>
          <w:szCs w:val="20"/>
        </w:rPr>
        <w:t>It is concluded in TR 38.921 that t</w:t>
      </w:r>
      <w:r w:rsidRPr="006B1ABB">
        <w:rPr>
          <w:sz w:val="20"/>
          <w:szCs w:val="20"/>
        </w:rPr>
        <w:t xml:space="preserve">he </w:t>
      </w:r>
      <w:r>
        <w:rPr>
          <w:sz w:val="20"/>
          <w:szCs w:val="20"/>
        </w:rPr>
        <w:t xml:space="preserve">minimum output power, i.e. </w:t>
      </w:r>
      <w:r>
        <w:rPr>
          <w:rFonts w:hint="eastAsia"/>
          <w:sz w:val="20"/>
          <w:szCs w:val="20"/>
        </w:rPr>
        <w:t xml:space="preserve">-33dBm for 100MHz channel bandwidth </w:t>
      </w:r>
      <w:r w:rsidRPr="006B1ABB">
        <w:rPr>
          <w:sz w:val="20"/>
          <w:szCs w:val="20"/>
        </w:rPr>
        <w:t xml:space="preserve">can be reused for </w:t>
      </w:r>
      <w:bookmarkStart w:id="2" w:name="OLE_LINK24"/>
      <w:r>
        <w:rPr>
          <w:rFonts w:hint="eastAsia"/>
          <w:sz w:val="20"/>
          <w:szCs w:val="20"/>
        </w:rPr>
        <w:t xml:space="preserve">the </w:t>
      </w:r>
      <w:r>
        <w:rPr>
          <w:sz w:val="20"/>
          <w:szCs w:val="20"/>
        </w:rPr>
        <w:t>frequency range</w:t>
      </w:r>
      <w:r>
        <w:rPr>
          <w:rFonts w:hint="eastAsia"/>
          <w:sz w:val="20"/>
          <w:szCs w:val="20"/>
        </w:rPr>
        <w:t xml:space="preserve"> of</w:t>
      </w:r>
      <w:r w:rsidRPr="006B1ABB">
        <w:rPr>
          <w:sz w:val="20"/>
          <w:szCs w:val="20"/>
        </w:rPr>
        <w:t xml:space="preserve"> 6.425 - 7.125 GHz</w:t>
      </w:r>
      <w:bookmarkEnd w:id="2"/>
      <w:r w:rsidRPr="006B1ABB">
        <w:rPr>
          <w:sz w:val="20"/>
          <w:szCs w:val="20"/>
        </w:rPr>
        <w:t xml:space="preserve">, i.e. power dynamic range is </w:t>
      </w:r>
      <w:bookmarkStart w:id="3" w:name="OLE_LINK94"/>
      <w:r w:rsidRPr="006B1ABB">
        <w:rPr>
          <w:sz w:val="20"/>
          <w:szCs w:val="20"/>
        </w:rPr>
        <w:t>56 dB for 100 MHz channel bandwidth.</w:t>
      </w:r>
      <w:bookmarkEnd w:id="3"/>
    </w:p>
    <w:p w:rsidR="006B1ABB" w:rsidRPr="006B1ABB" w:rsidRDefault="006B1ABB" w:rsidP="006B1ABB">
      <w:pPr>
        <w:rPr>
          <w:b/>
          <w:sz w:val="20"/>
          <w:szCs w:val="20"/>
        </w:rPr>
      </w:pPr>
      <w:r w:rsidRPr="006B1ABB">
        <w:rPr>
          <w:rFonts w:hint="eastAsia"/>
          <w:b/>
          <w:sz w:val="20"/>
          <w:szCs w:val="20"/>
        </w:rPr>
        <w:t xml:space="preserve">Proposal 2: </w:t>
      </w:r>
      <w:r w:rsidR="00355FD5">
        <w:rPr>
          <w:rFonts w:hint="eastAsia"/>
          <w:b/>
          <w:sz w:val="20"/>
          <w:szCs w:val="20"/>
        </w:rPr>
        <w:t xml:space="preserve">To </w:t>
      </w:r>
      <w:r>
        <w:rPr>
          <w:rFonts w:hint="eastAsia"/>
          <w:b/>
          <w:sz w:val="20"/>
          <w:szCs w:val="20"/>
        </w:rPr>
        <w:t xml:space="preserve">reuse the </w:t>
      </w:r>
      <w:r>
        <w:rPr>
          <w:b/>
          <w:sz w:val="20"/>
          <w:szCs w:val="20"/>
        </w:rPr>
        <w:t>minimum</w:t>
      </w:r>
      <w:r>
        <w:rPr>
          <w:rFonts w:hint="eastAsia"/>
          <w:b/>
          <w:sz w:val="20"/>
          <w:szCs w:val="20"/>
        </w:rPr>
        <w:t xml:space="preserve"> output power, i.e. -33dBm and the power dynamic range, i.e. 56dB for 100MHz channel bandwidth</w:t>
      </w:r>
      <w:r w:rsidR="00F604B7">
        <w:rPr>
          <w:rFonts w:hint="eastAsia"/>
          <w:b/>
          <w:sz w:val="20"/>
          <w:szCs w:val="20"/>
        </w:rPr>
        <w:t xml:space="preserve"> for </w:t>
      </w:r>
      <w:r w:rsidR="00F604B7" w:rsidRPr="006326D4">
        <w:rPr>
          <w:b/>
          <w:sz w:val="20"/>
          <w:szCs w:val="20"/>
        </w:rPr>
        <w:t>6425 -7125MHz.</w:t>
      </w:r>
    </w:p>
    <w:p w:rsidR="000E6904" w:rsidRPr="006B1ABB" w:rsidRDefault="000E6904" w:rsidP="000E6904">
      <w:pPr>
        <w:rPr>
          <w:sz w:val="20"/>
          <w:szCs w:val="20"/>
        </w:rPr>
      </w:pPr>
    </w:p>
    <w:p w:rsidR="00A26F61" w:rsidRDefault="00A26F61" w:rsidP="00A26F61">
      <w:pPr>
        <w:rPr>
          <w:b/>
          <w:sz w:val="20"/>
          <w:szCs w:val="20"/>
          <w:u w:val="single"/>
        </w:rPr>
      </w:pPr>
      <w:r w:rsidRPr="00A26F61">
        <w:rPr>
          <w:rFonts w:hint="eastAsia"/>
          <w:b/>
          <w:sz w:val="20"/>
          <w:szCs w:val="20"/>
          <w:u w:val="single"/>
        </w:rPr>
        <w:t>S</w:t>
      </w:r>
      <w:r w:rsidR="00472C57">
        <w:rPr>
          <w:rFonts w:hint="eastAsia"/>
          <w:b/>
          <w:sz w:val="20"/>
          <w:szCs w:val="20"/>
          <w:u w:val="single"/>
        </w:rPr>
        <w:t>pectrum emission mask</w:t>
      </w:r>
    </w:p>
    <w:p w:rsidR="00A26F61" w:rsidRDefault="00376982" w:rsidP="00A26F61">
      <w:r>
        <w:rPr>
          <w:rFonts w:hint="eastAsia"/>
        </w:rPr>
        <w:t xml:space="preserve">Based on TR 38.921, </w:t>
      </w:r>
      <w:r w:rsidR="00860DD4">
        <w:rPr>
          <w:rFonts w:hint="eastAsia"/>
        </w:rPr>
        <w:t>t</w:t>
      </w:r>
      <w:r w:rsidR="00A26F61">
        <w:t xml:space="preserve">he spectral mask for </w:t>
      </w:r>
      <w:r w:rsidR="00A26F61">
        <w:rPr>
          <w:lang w:eastAsia="ja-JP"/>
        </w:rPr>
        <w:t>6.425 - 7.125 GHz is defined</w:t>
      </w:r>
      <w:r w:rsidR="002F7BEA">
        <w:rPr>
          <w:lang w:eastAsia="ja-JP"/>
        </w:rPr>
        <w:t xml:space="preserve"> in below table which</w:t>
      </w:r>
      <w:r w:rsidR="00AA31C6">
        <w:rPr>
          <w:lang w:eastAsia="ja-JP"/>
        </w:rPr>
        <w:t xml:space="preserve"> relax</w:t>
      </w:r>
      <w:r w:rsidR="00A26F61">
        <w:rPr>
          <w:lang w:eastAsia="ja-JP"/>
        </w:rPr>
        <w:t xml:space="preserve"> </w:t>
      </w:r>
      <w:r w:rsidR="00D12A33">
        <w:rPr>
          <w:rFonts w:hint="eastAsia"/>
        </w:rPr>
        <w:t xml:space="preserve">the </w:t>
      </w:r>
      <w:r w:rsidR="00A26F61">
        <w:rPr>
          <w:lang w:eastAsia="ja-JP"/>
        </w:rPr>
        <w:t>general NR FR1 spectrum at the F</w:t>
      </w:r>
      <w:r w:rsidR="00A26F61" w:rsidRPr="0074122D">
        <w:rPr>
          <w:vertAlign w:val="subscript"/>
          <w:lang w:eastAsia="ja-JP"/>
        </w:rPr>
        <w:t>OOB</w:t>
      </w:r>
      <w:r w:rsidR="00BA51CE">
        <w:rPr>
          <w:lang w:eastAsia="ja-JP"/>
        </w:rPr>
        <w:t xml:space="preserve"> edge ± 0 – 5 MHz by 3</w:t>
      </w:r>
      <w:r w:rsidR="00A26F61">
        <w:rPr>
          <w:lang w:eastAsia="ja-JP"/>
        </w:rPr>
        <w:t>dB.</w:t>
      </w:r>
    </w:p>
    <w:p w:rsidR="00A26F61" w:rsidRDefault="0043479D" w:rsidP="00A26F61">
      <w:pPr>
        <w:pStyle w:val="TH"/>
        <w:rPr>
          <w:lang w:val="en-US" w:eastAsia="zh-CN"/>
        </w:rPr>
      </w:pPr>
      <w:r>
        <w:lastRenderedPageBreak/>
        <w:t xml:space="preserve">Table </w:t>
      </w:r>
      <w:r w:rsidR="00A26F61">
        <w:rPr>
          <w:lang w:val="en-US"/>
        </w:rPr>
        <w:t>2</w:t>
      </w:r>
      <w:r w:rsidR="00A26F61">
        <w:rPr>
          <w:rFonts w:hint="eastAsia"/>
          <w:lang w:val="en-US"/>
        </w:rPr>
        <w:t>-1</w:t>
      </w:r>
      <w:r w:rsidR="00A26F61">
        <w:t>:</w:t>
      </w:r>
      <w:r w:rsidR="00A26F61">
        <w:rPr>
          <w:lang w:val="en-US"/>
        </w:rPr>
        <w:t xml:space="preserve"> Spectrum emission mask for </w:t>
      </w:r>
      <w:r>
        <w:rPr>
          <w:lang w:val="en-US" w:eastAsia="ja-JP"/>
        </w:rPr>
        <w:t>6.425 - 7.125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6"/>
        <w:gridCol w:w="586"/>
        <w:gridCol w:w="380"/>
        <w:gridCol w:w="380"/>
        <w:gridCol w:w="380"/>
        <w:gridCol w:w="586"/>
        <w:gridCol w:w="380"/>
        <w:gridCol w:w="380"/>
        <w:gridCol w:w="380"/>
        <w:gridCol w:w="380"/>
        <w:gridCol w:w="586"/>
        <w:gridCol w:w="2327"/>
      </w:tblGrid>
      <w:tr w:rsidR="00A26F61" w:rsidTr="00D11D19">
        <w:trPr>
          <w:trHeight w:val="195"/>
          <w:jc w:val="center"/>
        </w:trPr>
        <w:tc>
          <w:tcPr>
            <w:tcW w:w="0" w:type="auto"/>
          </w:tcPr>
          <w:p w:rsidR="00A26F61" w:rsidRDefault="00A26F61" w:rsidP="00D11D19">
            <w:pPr>
              <w:pStyle w:val="TAH"/>
              <w:ind w:left="420" w:hanging="420"/>
            </w:pPr>
          </w:p>
        </w:tc>
        <w:tc>
          <w:tcPr>
            <w:tcW w:w="0" w:type="auto"/>
            <w:gridSpan w:val="11"/>
          </w:tcPr>
          <w:p w:rsidR="00A26F61" w:rsidRDefault="00A26F61" w:rsidP="00D11D19">
            <w:pPr>
              <w:pStyle w:val="TAH"/>
              <w:ind w:left="420" w:hanging="420"/>
            </w:pPr>
            <w:r>
              <w:t>Spectrum emission limit (</w:t>
            </w:r>
            <w:proofErr w:type="spellStart"/>
            <w:r>
              <w:t>dBm</w:t>
            </w:r>
            <w:proofErr w:type="spellEnd"/>
            <w:r>
              <w:t>) / Channel bandwidth</w:t>
            </w: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H"/>
              <w:ind w:left="420" w:hanging="420"/>
            </w:pPr>
            <w:proofErr w:type="spellStart"/>
            <w:r>
              <w:t>Δf</w:t>
            </w:r>
            <w:r>
              <w:rPr>
                <w:vertAlign w:val="subscript"/>
              </w:rPr>
              <w:t>OOB</w:t>
            </w:r>
            <w:proofErr w:type="spellEnd"/>
          </w:p>
          <w:p w:rsidR="00A26F61" w:rsidRDefault="00A26F61" w:rsidP="00D11D19">
            <w:pPr>
              <w:pStyle w:val="TAH"/>
              <w:ind w:left="420" w:hanging="420"/>
            </w:pPr>
            <w:r>
              <w:t>(MHz)</w:t>
            </w:r>
          </w:p>
        </w:tc>
        <w:tc>
          <w:tcPr>
            <w:tcW w:w="0" w:type="auto"/>
            <w:tcMar>
              <w:top w:w="0" w:type="dxa"/>
              <w:left w:w="108" w:type="dxa"/>
              <w:bottom w:w="0" w:type="dxa"/>
              <w:right w:w="108" w:type="dxa"/>
            </w:tcMar>
            <w:vAlign w:val="center"/>
          </w:tcPr>
          <w:p w:rsidR="00A26F61" w:rsidRDefault="00A26F61" w:rsidP="00D11D19">
            <w:pPr>
              <w:pStyle w:val="TAH"/>
              <w:ind w:left="420" w:hanging="420"/>
            </w:pPr>
            <w:r>
              <w:t>20</w:t>
            </w:r>
          </w:p>
          <w:p w:rsidR="00A26F61" w:rsidRDefault="00A26F61" w:rsidP="00D11D19">
            <w:pPr>
              <w:pStyle w:val="TAH"/>
              <w:ind w:left="420" w:hanging="420"/>
            </w:pPr>
            <w:r>
              <w:t>MHz</w:t>
            </w:r>
          </w:p>
        </w:tc>
        <w:tc>
          <w:tcPr>
            <w:tcW w:w="0" w:type="auto"/>
            <w:vAlign w:val="center"/>
          </w:tcPr>
          <w:p w:rsidR="00A26F61" w:rsidRDefault="00A26F61" w:rsidP="00D11D19">
            <w:pPr>
              <w:pStyle w:val="TAH"/>
              <w:ind w:left="420" w:hanging="420"/>
            </w:pPr>
            <w:r>
              <w:t>25</w:t>
            </w:r>
          </w:p>
          <w:p w:rsidR="00A26F61" w:rsidRDefault="00A26F61" w:rsidP="00D11D19">
            <w:pPr>
              <w:pStyle w:val="TAH"/>
              <w:ind w:left="420" w:hanging="420"/>
            </w:pPr>
            <w:r>
              <w:t>MHz</w:t>
            </w:r>
          </w:p>
        </w:tc>
        <w:tc>
          <w:tcPr>
            <w:tcW w:w="0" w:type="auto"/>
            <w:vAlign w:val="center"/>
          </w:tcPr>
          <w:p w:rsidR="00A26F61" w:rsidRDefault="00A26F61" w:rsidP="00D11D19">
            <w:pPr>
              <w:pStyle w:val="TAH"/>
              <w:ind w:left="420" w:hanging="420"/>
            </w:pPr>
            <w:r>
              <w:t xml:space="preserve">30 </w:t>
            </w:r>
          </w:p>
          <w:p w:rsidR="00A26F61" w:rsidRDefault="00A26F61" w:rsidP="00D11D19">
            <w:pPr>
              <w:pStyle w:val="TAH"/>
              <w:ind w:left="420" w:hanging="420"/>
            </w:pPr>
            <w:r>
              <w:t>MHz</w:t>
            </w:r>
          </w:p>
        </w:tc>
        <w:tc>
          <w:tcPr>
            <w:tcW w:w="0" w:type="auto"/>
            <w:vAlign w:val="center"/>
          </w:tcPr>
          <w:p w:rsidR="00A26F61" w:rsidRDefault="00A26F61" w:rsidP="00D11D19">
            <w:pPr>
              <w:pStyle w:val="TAH"/>
              <w:ind w:left="420" w:hanging="420"/>
            </w:pPr>
            <w:r>
              <w:t>40</w:t>
            </w:r>
          </w:p>
          <w:p w:rsidR="00A26F61" w:rsidRDefault="00A26F61" w:rsidP="00D11D19">
            <w:pPr>
              <w:pStyle w:val="TAH"/>
              <w:ind w:left="420" w:hanging="420"/>
            </w:pPr>
            <w:r>
              <w:t>MHz</w:t>
            </w:r>
          </w:p>
        </w:tc>
        <w:tc>
          <w:tcPr>
            <w:tcW w:w="0" w:type="auto"/>
            <w:tcMar>
              <w:top w:w="0" w:type="dxa"/>
              <w:left w:w="108" w:type="dxa"/>
              <w:bottom w:w="0" w:type="dxa"/>
              <w:right w:w="108" w:type="dxa"/>
            </w:tcMar>
            <w:vAlign w:val="center"/>
          </w:tcPr>
          <w:p w:rsidR="00A26F61" w:rsidRDefault="00A26F61" w:rsidP="00D11D19">
            <w:pPr>
              <w:pStyle w:val="TAH"/>
              <w:ind w:left="420" w:hanging="420"/>
            </w:pPr>
            <w:r>
              <w:t>50</w:t>
            </w:r>
          </w:p>
          <w:p w:rsidR="00A26F61" w:rsidRDefault="00A26F61" w:rsidP="00D11D19">
            <w:pPr>
              <w:pStyle w:val="TAH"/>
              <w:ind w:left="420" w:hanging="420"/>
            </w:pPr>
            <w:r>
              <w:t>MHz</w:t>
            </w:r>
          </w:p>
        </w:tc>
        <w:tc>
          <w:tcPr>
            <w:tcW w:w="0" w:type="auto"/>
            <w:vAlign w:val="center"/>
          </w:tcPr>
          <w:p w:rsidR="00A26F61" w:rsidRDefault="00A26F61" w:rsidP="00D11D19">
            <w:pPr>
              <w:pStyle w:val="TAH"/>
              <w:ind w:left="420" w:hanging="420"/>
            </w:pPr>
            <w:r>
              <w:t>60</w:t>
            </w:r>
          </w:p>
          <w:p w:rsidR="00A26F61" w:rsidRDefault="00A26F61" w:rsidP="00D11D19">
            <w:pPr>
              <w:pStyle w:val="TAH"/>
              <w:ind w:left="420" w:hanging="420"/>
            </w:pPr>
            <w:r>
              <w:t>MHz</w:t>
            </w:r>
          </w:p>
        </w:tc>
        <w:tc>
          <w:tcPr>
            <w:tcW w:w="0" w:type="auto"/>
          </w:tcPr>
          <w:p w:rsidR="00A26F61" w:rsidRDefault="00A26F61" w:rsidP="00D11D19">
            <w:pPr>
              <w:pStyle w:val="TAH"/>
              <w:ind w:left="420" w:hanging="420"/>
            </w:pPr>
            <w:r>
              <w:t>70</w:t>
            </w:r>
          </w:p>
          <w:p w:rsidR="00A26F61" w:rsidRDefault="00A26F61" w:rsidP="00D11D19">
            <w:pPr>
              <w:pStyle w:val="TAH"/>
              <w:ind w:left="420" w:hanging="420"/>
            </w:pPr>
            <w:r>
              <w:t>MHz</w:t>
            </w:r>
          </w:p>
        </w:tc>
        <w:tc>
          <w:tcPr>
            <w:tcW w:w="0" w:type="auto"/>
            <w:vAlign w:val="center"/>
          </w:tcPr>
          <w:p w:rsidR="00A26F61" w:rsidRDefault="00A26F61" w:rsidP="00D11D19">
            <w:pPr>
              <w:pStyle w:val="TAH"/>
              <w:ind w:left="420" w:hanging="420"/>
            </w:pPr>
            <w:r>
              <w:t>80</w:t>
            </w:r>
          </w:p>
          <w:p w:rsidR="00A26F61" w:rsidRDefault="00A26F61" w:rsidP="00D11D19">
            <w:pPr>
              <w:pStyle w:val="TAH"/>
              <w:ind w:left="420" w:hanging="420"/>
            </w:pPr>
            <w:r>
              <w:t>MHz</w:t>
            </w:r>
          </w:p>
        </w:tc>
        <w:tc>
          <w:tcPr>
            <w:tcW w:w="0" w:type="auto"/>
          </w:tcPr>
          <w:p w:rsidR="00A26F61" w:rsidRDefault="00A26F61" w:rsidP="00D11D19">
            <w:pPr>
              <w:pStyle w:val="TAH"/>
              <w:ind w:left="420" w:hanging="420"/>
            </w:pPr>
            <w:r>
              <w:t>90</w:t>
            </w:r>
          </w:p>
          <w:p w:rsidR="00A26F61" w:rsidRDefault="00A26F61" w:rsidP="00D11D19">
            <w:pPr>
              <w:pStyle w:val="TAH"/>
              <w:ind w:left="420" w:hanging="420"/>
            </w:pPr>
            <w:r>
              <w:t>MHz</w:t>
            </w:r>
          </w:p>
        </w:tc>
        <w:tc>
          <w:tcPr>
            <w:tcW w:w="0" w:type="auto"/>
            <w:tcMar>
              <w:top w:w="0" w:type="dxa"/>
              <w:left w:w="108" w:type="dxa"/>
              <w:bottom w:w="0" w:type="dxa"/>
              <w:right w:w="108" w:type="dxa"/>
            </w:tcMar>
            <w:vAlign w:val="center"/>
          </w:tcPr>
          <w:p w:rsidR="00A26F61" w:rsidRDefault="00A26F61" w:rsidP="00D11D19">
            <w:pPr>
              <w:pStyle w:val="TAH"/>
              <w:ind w:left="420" w:hanging="420"/>
            </w:pPr>
            <w:r>
              <w:t>100</w:t>
            </w:r>
          </w:p>
          <w:p w:rsidR="00A26F61" w:rsidRDefault="00A26F61" w:rsidP="00D11D19">
            <w:pPr>
              <w:pStyle w:val="TAH"/>
              <w:ind w:left="420" w:hanging="420"/>
            </w:pPr>
            <w:r>
              <w:t>MHz</w:t>
            </w:r>
          </w:p>
        </w:tc>
        <w:tc>
          <w:tcPr>
            <w:tcW w:w="0" w:type="auto"/>
            <w:tcMar>
              <w:top w:w="0" w:type="dxa"/>
              <w:left w:w="108" w:type="dxa"/>
              <w:bottom w:w="0" w:type="dxa"/>
              <w:right w:w="108" w:type="dxa"/>
            </w:tcMar>
          </w:tcPr>
          <w:p w:rsidR="00A26F61" w:rsidRDefault="00A26F61" w:rsidP="00D11D19">
            <w:pPr>
              <w:pStyle w:val="TAH"/>
              <w:ind w:left="420" w:hanging="420"/>
            </w:pPr>
            <w:r>
              <w:t>Measurement bandwidth</w:t>
            </w: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0-1</w:t>
            </w:r>
          </w:p>
        </w:tc>
        <w:tc>
          <w:tcPr>
            <w:tcW w:w="0" w:type="auto"/>
            <w:tcMar>
              <w:top w:w="0" w:type="dxa"/>
              <w:left w:w="108" w:type="dxa"/>
              <w:bottom w:w="0" w:type="dxa"/>
              <w:right w:w="108" w:type="dxa"/>
            </w:tcMar>
          </w:tcPr>
          <w:p w:rsidR="00A26F61" w:rsidRDefault="00A26F61" w:rsidP="00D11D19">
            <w:pPr>
              <w:pStyle w:val="TAC"/>
            </w:pPr>
            <w:r>
              <w:t>-10</w:t>
            </w:r>
          </w:p>
        </w:tc>
        <w:tc>
          <w:tcPr>
            <w:tcW w:w="0" w:type="auto"/>
          </w:tcPr>
          <w:p w:rsidR="00A26F61" w:rsidRDefault="00A26F61" w:rsidP="00D11D19">
            <w:pPr>
              <w:pStyle w:val="TAC"/>
            </w:pPr>
            <w:r>
              <w:t>-10</w:t>
            </w:r>
          </w:p>
        </w:tc>
        <w:tc>
          <w:tcPr>
            <w:tcW w:w="0" w:type="auto"/>
          </w:tcPr>
          <w:p w:rsidR="00A26F61" w:rsidRDefault="00A26F61" w:rsidP="00D11D19">
            <w:pPr>
              <w:pStyle w:val="TAC"/>
            </w:pPr>
            <w:r>
              <w:t>-10</w:t>
            </w:r>
          </w:p>
        </w:tc>
        <w:tc>
          <w:tcPr>
            <w:tcW w:w="0" w:type="auto"/>
          </w:tcPr>
          <w:p w:rsidR="00A26F61" w:rsidRDefault="00A26F61" w:rsidP="00D11D19">
            <w:pPr>
              <w:pStyle w:val="TAC"/>
            </w:pPr>
            <w:r>
              <w:t>-10</w:t>
            </w: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Mar>
              <w:top w:w="0" w:type="dxa"/>
              <w:left w:w="108" w:type="dxa"/>
              <w:bottom w:w="0" w:type="dxa"/>
              <w:right w:w="108" w:type="dxa"/>
            </w:tcMar>
          </w:tcPr>
          <w:p w:rsidR="00A26F61" w:rsidRDefault="00A26F61" w:rsidP="00D11D19">
            <w:pPr>
              <w:pStyle w:val="TAC"/>
            </w:pPr>
          </w:p>
        </w:tc>
        <w:tc>
          <w:tcPr>
            <w:tcW w:w="0" w:type="auto"/>
            <w:tcMar>
              <w:top w:w="0" w:type="dxa"/>
              <w:left w:w="108" w:type="dxa"/>
              <w:bottom w:w="0" w:type="dxa"/>
              <w:right w:w="108" w:type="dxa"/>
            </w:tcMar>
          </w:tcPr>
          <w:p w:rsidR="00A26F61" w:rsidRDefault="00A26F61" w:rsidP="00D11D19">
            <w:pPr>
              <w:pStyle w:val="TAC"/>
            </w:pPr>
            <w:r>
              <w:t>1 % channel bandwidth</w:t>
            </w: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0-1</w:t>
            </w: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Mar>
              <w:top w:w="0" w:type="dxa"/>
              <w:left w:w="108" w:type="dxa"/>
              <w:bottom w:w="0" w:type="dxa"/>
              <w:right w:w="108" w:type="dxa"/>
            </w:tcMar>
          </w:tcPr>
          <w:p w:rsidR="00A26F61" w:rsidRDefault="00A26F61" w:rsidP="00D11D19">
            <w:pPr>
              <w:pStyle w:val="TAC"/>
            </w:pPr>
            <w:r>
              <w:rPr>
                <w:rFonts w:asciiTheme="minorEastAsia" w:hAnsiTheme="minorEastAsia" w:hint="eastAsia"/>
                <w:lang w:eastAsia="zh-CN"/>
              </w:rPr>
              <w:t>-</w:t>
            </w:r>
            <w:r>
              <w:t>21</w:t>
            </w:r>
          </w:p>
        </w:tc>
        <w:tc>
          <w:tcPr>
            <w:tcW w:w="0" w:type="auto"/>
          </w:tcPr>
          <w:p w:rsidR="00A26F61" w:rsidRDefault="00A26F61" w:rsidP="00D11D19">
            <w:pPr>
              <w:pStyle w:val="TAC"/>
            </w:pPr>
            <w:r>
              <w:rPr>
                <w:rFonts w:asciiTheme="minorEastAsia" w:hAnsiTheme="minorEastAsia" w:hint="eastAsia"/>
                <w:lang w:eastAsia="zh-CN"/>
              </w:rPr>
              <w:t>-</w:t>
            </w:r>
            <w:r>
              <w:t>21</w:t>
            </w:r>
          </w:p>
        </w:tc>
        <w:tc>
          <w:tcPr>
            <w:tcW w:w="0" w:type="auto"/>
          </w:tcPr>
          <w:p w:rsidR="00A26F61" w:rsidRDefault="00A26F61" w:rsidP="00D11D19">
            <w:pPr>
              <w:pStyle w:val="TAC"/>
            </w:pPr>
            <w:r>
              <w:rPr>
                <w:rFonts w:asciiTheme="minorEastAsia" w:hAnsiTheme="minorEastAsia" w:hint="eastAsia"/>
                <w:lang w:eastAsia="zh-CN"/>
              </w:rPr>
              <w:t>-</w:t>
            </w:r>
            <w:r>
              <w:t>21</w:t>
            </w:r>
          </w:p>
        </w:tc>
        <w:tc>
          <w:tcPr>
            <w:tcW w:w="0" w:type="auto"/>
          </w:tcPr>
          <w:p w:rsidR="00A26F61" w:rsidRDefault="00A26F61" w:rsidP="00D11D19">
            <w:pPr>
              <w:pStyle w:val="TAC"/>
            </w:pPr>
            <w:r>
              <w:rPr>
                <w:rFonts w:asciiTheme="minorEastAsia" w:hAnsiTheme="minorEastAsia" w:hint="eastAsia"/>
                <w:lang w:eastAsia="zh-CN"/>
              </w:rPr>
              <w:t>-</w:t>
            </w:r>
            <w:r>
              <w:t>21</w:t>
            </w:r>
          </w:p>
        </w:tc>
        <w:tc>
          <w:tcPr>
            <w:tcW w:w="0" w:type="auto"/>
          </w:tcPr>
          <w:p w:rsidR="00A26F61" w:rsidRDefault="00A26F61" w:rsidP="00D11D19">
            <w:pPr>
              <w:pStyle w:val="TAC"/>
            </w:pPr>
            <w:r>
              <w:rPr>
                <w:rFonts w:asciiTheme="minorEastAsia" w:hAnsiTheme="minorEastAsia" w:hint="eastAsia"/>
                <w:lang w:eastAsia="zh-CN"/>
              </w:rPr>
              <w:t>-</w:t>
            </w:r>
            <w:r>
              <w:t>21</w:t>
            </w:r>
          </w:p>
        </w:tc>
        <w:tc>
          <w:tcPr>
            <w:tcW w:w="0" w:type="auto"/>
            <w:tcMar>
              <w:top w:w="0" w:type="dxa"/>
              <w:left w:w="108" w:type="dxa"/>
              <w:bottom w:w="0" w:type="dxa"/>
              <w:right w:w="108" w:type="dxa"/>
            </w:tcMar>
          </w:tcPr>
          <w:p w:rsidR="00A26F61" w:rsidRDefault="00A26F61" w:rsidP="00D11D19">
            <w:pPr>
              <w:pStyle w:val="TAC"/>
            </w:pPr>
            <w:r>
              <w:rPr>
                <w:rFonts w:asciiTheme="minorEastAsia" w:hAnsiTheme="minorEastAsia" w:hint="eastAsia"/>
                <w:lang w:eastAsia="zh-CN"/>
              </w:rPr>
              <w:t>-</w:t>
            </w:r>
            <w:r>
              <w:t>21</w:t>
            </w:r>
          </w:p>
        </w:tc>
        <w:tc>
          <w:tcPr>
            <w:tcW w:w="0" w:type="auto"/>
            <w:tcBorders>
              <w:bottom w:val="single" w:sz="4" w:space="0" w:color="auto"/>
            </w:tcBorders>
            <w:tcMar>
              <w:top w:w="0" w:type="dxa"/>
              <w:left w:w="108" w:type="dxa"/>
              <w:bottom w:w="0" w:type="dxa"/>
              <w:right w:w="108" w:type="dxa"/>
            </w:tcMar>
          </w:tcPr>
          <w:p w:rsidR="00A26F61" w:rsidRDefault="00A26F61" w:rsidP="00D11D19">
            <w:pPr>
              <w:pStyle w:val="TAC"/>
            </w:pPr>
            <w:r>
              <w:t>30 kHz</w:t>
            </w: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1-5</w:t>
            </w:r>
          </w:p>
        </w:tc>
        <w:tc>
          <w:tcPr>
            <w:tcW w:w="0" w:type="auto"/>
            <w:tcBorders>
              <w:bottom w:val="single" w:sz="4" w:space="0" w:color="auto"/>
            </w:tcBorders>
            <w:tcMar>
              <w:top w:w="0" w:type="dxa"/>
              <w:left w:w="108" w:type="dxa"/>
              <w:bottom w:w="0" w:type="dxa"/>
              <w:right w:w="108" w:type="dxa"/>
            </w:tcMar>
          </w:tcPr>
          <w:p w:rsidR="00A26F61" w:rsidRDefault="00A26F61" w:rsidP="00D11D19">
            <w:pPr>
              <w:pStyle w:val="TAC"/>
            </w:pPr>
            <w:r>
              <w:t>-7</w:t>
            </w:r>
          </w:p>
        </w:tc>
        <w:tc>
          <w:tcPr>
            <w:tcW w:w="0" w:type="auto"/>
            <w:tcBorders>
              <w:bottom w:val="single" w:sz="4" w:space="0" w:color="auto"/>
            </w:tcBorders>
          </w:tcPr>
          <w:p w:rsidR="00A26F61" w:rsidRDefault="00A26F61" w:rsidP="00D11D19">
            <w:pPr>
              <w:pStyle w:val="TAC"/>
            </w:pPr>
            <w:r>
              <w:t>-7</w:t>
            </w:r>
          </w:p>
        </w:tc>
        <w:tc>
          <w:tcPr>
            <w:tcW w:w="0" w:type="auto"/>
            <w:tcBorders>
              <w:bottom w:val="single" w:sz="4" w:space="0" w:color="auto"/>
            </w:tcBorders>
          </w:tcPr>
          <w:p w:rsidR="00A26F61" w:rsidRDefault="00A26F61" w:rsidP="00D11D19">
            <w:pPr>
              <w:pStyle w:val="TAC"/>
            </w:pPr>
            <w:r>
              <w:t>-7</w:t>
            </w:r>
          </w:p>
        </w:tc>
        <w:tc>
          <w:tcPr>
            <w:tcW w:w="0" w:type="auto"/>
            <w:tcBorders>
              <w:bottom w:val="single" w:sz="4" w:space="0" w:color="auto"/>
            </w:tcBorders>
          </w:tcPr>
          <w:p w:rsidR="00A26F61" w:rsidRDefault="00A26F61" w:rsidP="00D11D19">
            <w:pPr>
              <w:pStyle w:val="TAC"/>
            </w:pPr>
            <w:r>
              <w:t>-7</w:t>
            </w:r>
          </w:p>
        </w:tc>
        <w:tc>
          <w:tcPr>
            <w:tcW w:w="0" w:type="auto"/>
            <w:tcBorders>
              <w:bottom w:val="single" w:sz="4" w:space="0" w:color="auto"/>
            </w:tcBorders>
            <w:tcMar>
              <w:top w:w="0" w:type="dxa"/>
              <w:left w:w="108" w:type="dxa"/>
              <w:bottom w:w="0" w:type="dxa"/>
              <w:right w:w="108" w:type="dxa"/>
            </w:tcMar>
          </w:tcPr>
          <w:p w:rsidR="00A26F61" w:rsidRDefault="00A26F61" w:rsidP="00D11D19">
            <w:pPr>
              <w:pStyle w:val="TAC"/>
            </w:pPr>
            <w:r>
              <w:t>-7</w:t>
            </w:r>
          </w:p>
        </w:tc>
        <w:tc>
          <w:tcPr>
            <w:tcW w:w="0" w:type="auto"/>
            <w:tcBorders>
              <w:bottom w:val="single" w:sz="4" w:space="0" w:color="auto"/>
            </w:tcBorders>
          </w:tcPr>
          <w:p w:rsidR="00A26F61" w:rsidRDefault="00A26F61" w:rsidP="00D11D19">
            <w:pPr>
              <w:pStyle w:val="TAC"/>
            </w:pPr>
            <w:r>
              <w:t>-7</w:t>
            </w:r>
          </w:p>
        </w:tc>
        <w:tc>
          <w:tcPr>
            <w:tcW w:w="0" w:type="auto"/>
            <w:tcBorders>
              <w:bottom w:val="single" w:sz="4" w:space="0" w:color="auto"/>
            </w:tcBorders>
          </w:tcPr>
          <w:p w:rsidR="00A26F61" w:rsidRDefault="00A26F61" w:rsidP="00D11D19">
            <w:pPr>
              <w:pStyle w:val="TAC"/>
            </w:pPr>
            <w:r>
              <w:t>-7</w:t>
            </w:r>
          </w:p>
        </w:tc>
        <w:tc>
          <w:tcPr>
            <w:tcW w:w="0" w:type="auto"/>
            <w:tcBorders>
              <w:bottom w:val="single" w:sz="4" w:space="0" w:color="auto"/>
            </w:tcBorders>
          </w:tcPr>
          <w:p w:rsidR="00A26F61" w:rsidRDefault="00A26F61" w:rsidP="00D11D19">
            <w:pPr>
              <w:pStyle w:val="TAC"/>
            </w:pPr>
            <w:r>
              <w:t>-7</w:t>
            </w:r>
          </w:p>
        </w:tc>
        <w:tc>
          <w:tcPr>
            <w:tcW w:w="0" w:type="auto"/>
            <w:tcBorders>
              <w:bottom w:val="single" w:sz="4" w:space="0" w:color="auto"/>
            </w:tcBorders>
          </w:tcPr>
          <w:p w:rsidR="00A26F61" w:rsidRDefault="00A26F61" w:rsidP="00D11D19">
            <w:pPr>
              <w:pStyle w:val="TAC"/>
            </w:pPr>
            <w:r>
              <w:t>-7</w:t>
            </w:r>
          </w:p>
        </w:tc>
        <w:tc>
          <w:tcPr>
            <w:tcW w:w="0" w:type="auto"/>
            <w:tcBorders>
              <w:bottom w:val="single" w:sz="4" w:space="0" w:color="auto"/>
            </w:tcBorders>
            <w:tcMar>
              <w:top w:w="0" w:type="dxa"/>
              <w:left w:w="108" w:type="dxa"/>
              <w:bottom w:w="0" w:type="dxa"/>
              <w:right w:w="108" w:type="dxa"/>
            </w:tcMar>
          </w:tcPr>
          <w:p w:rsidR="00A26F61" w:rsidRDefault="00A26F61" w:rsidP="00D11D19">
            <w:pPr>
              <w:pStyle w:val="TAC"/>
            </w:pPr>
            <w:r>
              <w:t>-7</w:t>
            </w:r>
          </w:p>
        </w:tc>
        <w:tc>
          <w:tcPr>
            <w:tcW w:w="0" w:type="auto"/>
            <w:tcBorders>
              <w:bottom w:val="nil"/>
            </w:tcBorders>
            <w:shd w:val="clear" w:color="auto" w:fill="auto"/>
            <w:tcMar>
              <w:top w:w="0" w:type="dxa"/>
              <w:left w:w="108" w:type="dxa"/>
              <w:bottom w:w="0" w:type="dxa"/>
              <w:right w:w="108" w:type="dxa"/>
            </w:tcMar>
          </w:tcPr>
          <w:p w:rsidR="00A26F61" w:rsidRDefault="00A26F61" w:rsidP="00D11D19">
            <w:pPr>
              <w:pStyle w:val="TAC"/>
              <w:rPr>
                <w:rFonts w:eastAsia="Yu Mincho"/>
              </w:rPr>
            </w:pPr>
            <w:r>
              <w:rPr>
                <w:rFonts w:eastAsia="Yu Mincho"/>
              </w:rPr>
              <w:t>1 MHz</w:t>
            </w: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5-6</w:t>
            </w:r>
          </w:p>
        </w:tc>
        <w:tc>
          <w:tcPr>
            <w:tcW w:w="0" w:type="auto"/>
            <w:tcBorders>
              <w:bottom w:val="nil"/>
            </w:tcBorders>
            <w:shd w:val="clear" w:color="auto" w:fill="auto"/>
            <w:tcMar>
              <w:top w:w="0" w:type="dxa"/>
              <w:left w:w="108" w:type="dxa"/>
              <w:bottom w:w="0" w:type="dxa"/>
              <w:right w:w="108" w:type="dxa"/>
            </w:tcMar>
          </w:tcPr>
          <w:p w:rsidR="00A26F61" w:rsidRDefault="00A26F61" w:rsidP="00D11D19">
            <w:pPr>
              <w:pStyle w:val="TAC"/>
            </w:pPr>
            <w:r>
              <w:t>-13</w:t>
            </w:r>
          </w:p>
        </w:tc>
        <w:tc>
          <w:tcPr>
            <w:tcW w:w="0" w:type="auto"/>
            <w:tcBorders>
              <w:bottom w:val="nil"/>
            </w:tcBorders>
            <w:shd w:val="clear" w:color="auto" w:fill="auto"/>
          </w:tcPr>
          <w:p w:rsidR="00A26F61" w:rsidRDefault="00A26F61" w:rsidP="00D11D19">
            <w:pPr>
              <w:pStyle w:val="TAC"/>
            </w:pPr>
            <w:r>
              <w:t>-13</w:t>
            </w:r>
          </w:p>
        </w:tc>
        <w:tc>
          <w:tcPr>
            <w:tcW w:w="0" w:type="auto"/>
            <w:tcBorders>
              <w:bottom w:val="nil"/>
            </w:tcBorders>
            <w:shd w:val="clear" w:color="auto" w:fill="auto"/>
          </w:tcPr>
          <w:p w:rsidR="00A26F61" w:rsidRDefault="00A26F61" w:rsidP="00D11D19">
            <w:pPr>
              <w:pStyle w:val="TAC"/>
            </w:pPr>
            <w:r>
              <w:t>-13</w:t>
            </w:r>
          </w:p>
        </w:tc>
        <w:tc>
          <w:tcPr>
            <w:tcW w:w="0" w:type="auto"/>
            <w:tcBorders>
              <w:bottom w:val="nil"/>
            </w:tcBorders>
            <w:shd w:val="clear" w:color="auto" w:fill="auto"/>
          </w:tcPr>
          <w:p w:rsidR="00A26F61" w:rsidRDefault="00A26F61" w:rsidP="00D11D19">
            <w:pPr>
              <w:pStyle w:val="TAC"/>
            </w:pPr>
            <w:r>
              <w:t>-13</w:t>
            </w:r>
          </w:p>
        </w:tc>
        <w:tc>
          <w:tcPr>
            <w:tcW w:w="0" w:type="auto"/>
            <w:tcBorders>
              <w:bottom w:val="nil"/>
            </w:tcBorders>
            <w:shd w:val="clear" w:color="auto" w:fill="auto"/>
            <w:tcMar>
              <w:top w:w="0" w:type="dxa"/>
              <w:left w:w="108" w:type="dxa"/>
              <w:bottom w:w="0" w:type="dxa"/>
              <w:right w:w="108" w:type="dxa"/>
            </w:tcMar>
          </w:tcPr>
          <w:p w:rsidR="00A26F61" w:rsidRDefault="00A26F61" w:rsidP="00D11D19">
            <w:pPr>
              <w:pStyle w:val="TAC"/>
            </w:pPr>
            <w:r>
              <w:t>-13</w:t>
            </w:r>
          </w:p>
        </w:tc>
        <w:tc>
          <w:tcPr>
            <w:tcW w:w="0" w:type="auto"/>
            <w:tcBorders>
              <w:bottom w:val="nil"/>
            </w:tcBorders>
            <w:shd w:val="clear" w:color="auto" w:fill="auto"/>
          </w:tcPr>
          <w:p w:rsidR="00A26F61" w:rsidRDefault="00A26F61" w:rsidP="00D11D19">
            <w:pPr>
              <w:pStyle w:val="TAC"/>
            </w:pPr>
            <w:r>
              <w:t>-13</w:t>
            </w:r>
          </w:p>
        </w:tc>
        <w:tc>
          <w:tcPr>
            <w:tcW w:w="0" w:type="auto"/>
            <w:tcBorders>
              <w:bottom w:val="nil"/>
            </w:tcBorders>
            <w:shd w:val="clear" w:color="auto" w:fill="auto"/>
          </w:tcPr>
          <w:p w:rsidR="00A26F61" w:rsidRDefault="00A26F61" w:rsidP="00D11D19">
            <w:pPr>
              <w:pStyle w:val="TAC"/>
            </w:pPr>
            <w:r>
              <w:t>-13</w:t>
            </w:r>
          </w:p>
        </w:tc>
        <w:tc>
          <w:tcPr>
            <w:tcW w:w="0" w:type="auto"/>
            <w:tcBorders>
              <w:bottom w:val="nil"/>
            </w:tcBorders>
            <w:shd w:val="clear" w:color="auto" w:fill="auto"/>
          </w:tcPr>
          <w:p w:rsidR="00A26F61" w:rsidRDefault="00A26F61" w:rsidP="00D11D19">
            <w:pPr>
              <w:pStyle w:val="TAC"/>
            </w:pPr>
            <w:r>
              <w:t>-13</w:t>
            </w:r>
          </w:p>
        </w:tc>
        <w:tc>
          <w:tcPr>
            <w:tcW w:w="0" w:type="auto"/>
            <w:tcBorders>
              <w:bottom w:val="nil"/>
            </w:tcBorders>
            <w:shd w:val="clear" w:color="auto" w:fill="auto"/>
          </w:tcPr>
          <w:p w:rsidR="00A26F61" w:rsidRDefault="00A26F61" w:rsidP="00D11D19">
            <w:pPr>
              <w:pStyle w:val="TAC"/>
            </w:pPr>
            <w:r>
              <w:t>-13</w:t>
            </w:r>
          </w:p>
        </w:tc>
        <w:tc>
          <w:tcPr>
            <w:tcW w:w="0" w:type="auto"/>
            <w:tcBorders>
              <w:bottom w:val="nil"/>
            </w:tcBorders>
            <w:shd w:val="clear" w:color="auto" w:fill="auto"/>
            <w:tcMar>
              <w:top w:w="0" w:type="dxa"/>
              <w:left w:w="108" w:type="dxa"/>
              <w:bottom w:w="0" w:type="dxa"/>
              <w:right w:w="108" w:type="dxa"/>
            </w:tcMar>
          </w:tcPr>
          <w:p w:rsidR="00A26F61" w:rsidRDefault="00A26F61" w:rsidP="00D11D19">
            <w:pPr>
              <w:pStyle w:val="TAC"/>
            </w:pPr>
            <w:r>
              <w:t>-13</w:t>
            </w: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rPr>
                <w:rFonts w:eastAsia="Yu Mincho" w:cs="Arial"/>
                <w:szCs w:val="18"/>
              </w:rPr>
            </w:pP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6-10</w:t>
            </w: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rPr>
                <w:rFonts w:eastAsia="Yu Mincho" w:cs="Arial"/>
                <w:szCs w:val="18"/>
              </w:rPr>
            </w:pP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10-15</w:t>
            </w: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rPr>
                <w:rFonts w:eastAsia="Yu Mincho" w:cs="Arial"/>
                <w:szCs w:val="18"/>
              </w:rPr>
            </w:pP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15-20</w:t>
            </w:r>
          </w:p>
        </w:tc>
        <w:tc>
          <w:tcPr>
            <w:tcW w:w="0" w:type="auto"/>
            <w:tcBorders>
              <w:top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rPr>
                <w:rFonts w:eastAsia="Yu Mincho" w:cs="Arial"/>
                <w:szCs w:val="18"/>
              </w:rPr>
            </w:pP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20-25</w:t>
            </w:r>
          </w:p>
        </w:tc>
        <w:tc>
          <w:tcPr>
            <w:tcW w:w="0" w:type="auto"/>
            <w:tcMar>
              <w:top w:w="0" w:type="dxa"/>
              <w:left w:w="108" w:type="dxa"/>
              <w:bottom w:w="0" w:type="dxa"/>
              <w:right w:w="108" w:type="dxa"/>
            </w:tcMar>
          </w:tcPr>
          <w:p w:rsidR="00A26F61" w:rsidRDefault="00A26F61" w:rsidP="00D11D19">
            <w:pPr>
              <w:pStyle w:val="TAC"/>
            </w:pPr>
            <w:r>
              <w:t>-25</w:t>
            </w:r>
          </w:p>
        </w:tc>
        <w:tc>
          <w:tcPr>
            <w:tcW w:w="0" w:type="auto"/>
            <w:tcBorders>
              <w:top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rPr>
                <w:rFonts w:eastAsia="Yu Mincho" w:cs="Arial"/>
                <w:szCs w:val="18"/>
              </w:rPr>
            </w:pP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25-30</w:t>
            </w: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r>
              <w:t>-25</w:t>
            </w:r>
          </w:p>
        </w:tc>
        <w:tc>
          <w:tcPr>
            <w:tcW w:w="0" w:type="auto"/>
            <w:tcBorders>
              <w:top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rPr>
                <w:rFonts w:eastAsia="Yu Mincho" w:cs="Arial"/>
                <w:szCs w:val="18"/>
              </w:rPr>
            </w:pP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30-35</w:t>
            </w: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r>
              <w:t>-25</w:t>
            </w: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rPr>
                <w:rFonts w:eastAsia="Yu Mincho" w:cs="Arial"/>
                <w:szCs w:val="18"/>
              </w:rPr>
            </w:pP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35-40</w:t>
            </w: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Borders>
              <w:top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rPr>
                <w:rFonts w:eastAsia="Yu Mincho" w:cs="Arial"/>
                <w:szCs w:val="18"/>
              </w:rPr>
            </w:pP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40-45</w:t>
            </w: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r>
              <w:t>-25</w:t>
            </w: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rPr>
                <w:rFonts w:eastAsia="Yu Mincho" w:cs="Arial"/>
                <w:szCs w:val="18"/>
              </w:rPr>
            </w:pP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45-50</w:t>
            </w: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Borders>
              <w:top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rPr>
                <w:rFonts w:eastAsia="Yu Mincho" w:cs="Arial"/>
                <w:szCs w:val="18"/>
              </w:rPr>
            </w:pP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50-55</w:t>
            </w: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Mar>
              <w:top w:w="0" w:type="dxa"/>
              <w:left w:w="108" w:type="dxa"/>
              <w:bottom w:w="0" w:type="dxa"/>
              <w:right w:w="108" w:type="dxa"/>
            </w:tcMar>
          </w:tcPr>
          <w:p w:rsidR="00A26F61" w:rsidRDefault="00A26F61" w:rsidP="00D11D19">
            <w:pPr>
              <w:pStyle w:val="TAC"/>
            </w:pPr>
            <w:r>
              <w:t>-25</w:t>
            </w: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rPr>
                <w:rFonts w:eastAsia="Yu Mincho" w:cs="Arial"/>
                <w:szCs w:val="18"/>
              </w:rPr>
            </w:pP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55-60</w:t>
            </w: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Mar>
              <w:top w:w="0" w:type="dxa"/>
              <w:left w:w="108" w:type="dxa"/>
              <w:bottom w:w="0" w:type="dxa"/>
              <w:right w:w="108" w:type="dxa"/>
            </w:tcMar>
          </w:tcPr>
          <w:p w:rsidR="00A26F61" w:rsidRDefault="00A26F61" w:rsidP="00D11D19">
            <w:pPr>
              <w:pStyle w:val="TAC"/>
            </w:pPr>
          </w:p>
        </w:tc>
        <w:tc>
          <w:tcPr>
            <w:tcW w:w="0" w:type="auto"/>
            <w:tcBorders>
              <w:top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rPr>
                <w:rFonts w:eastAsia="Yu Mincho" w:cs="Arial"/>
                <w:szCs w:val="18"/>
              </w:rPr>
            </w:pP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60-65</w:t>
            </w: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r>
              <w:t>-25</w:t>
            </w: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rPr>
                <w:rFonts w:eastAsia="Yu Mincho" w:cs="Arial"/>
                <w:szCs w:val="18"/>
              </w:rPr>
            </w:pP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65-70</w:t>
            </w: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Borders>
              <w:top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rPr>
                <w:rFonts w:eastAsia="Yu Mincho" w:cs="Arial"/>
                <w:szCs w:val="18"/>
              </w:rPr>
            </w:pP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70-75</w:t>
            </w: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r>
              <w:t>-25</w:t>
            </w: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rPr>
                <w:rFonts w:eastAsia="Yu Mincho" w:cs="Arial"/>
                <w:szCs w:val="18"/>
              </w:rPr>
            </w:pP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75-80</w:t>
            </w: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Borders>
              <w:top w:val="nil"/>
            </w:tcBorders>
            <w:shd w:val="clear" w:color="auto" w:fill="auto"/>
          </w:tcPr>
          <w:p w:rsidR="00A26F61" w:rsidRDefault="00A26F61" w:rsidP="00D11D19">
            <w:pPr>
              <w:pStyle w:val="TAC"/>
            </w:pP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rPr>
                <w:rFonts w:eastAsia="Yu Mincho" w:cs="Arial"/>
                <w:szCs w:val="18"/>
              </w:rPr>
            </w:pP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80-85</w:t>
            </w: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r>
              <w:t>-25</w:t>
            </w:r>
          </w:p>
        </w:tc>
        <w:tc>
          <w:tcPr>
            <w:tcW w:w="0" w:type="auto"/>
            <w:tcBorders>
              <w:top w:val="nil"/>
              <w:bottom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rPr>
                <w:rFonts w:eastAsia="Yu Mincho" w:cs="Arial"/>
                <w:szCs w:val="18"/>
              </w:rPr>
            </w:pP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85-90</w:t>
            </w: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Borders>
              <w:top w:val="nil"/>
            </w:tcBorders>
            <w:shd w:val="clear" w:color="auto" w:fill="auto"/>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rPr>
                <w:rFonts w:eastAsia="Yu Mincho" w:cs="Arial"/>
                <w:szCs w:val="18"/>
              </w:rPr>
            </w:pP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90-95</w:t>
            </w: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r>
              <w:t>-25</w:t>
            </w: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rPr>
                <w:rFonts w:eastAsia="Yu Mincho" w:cs="Arial"/>
                <w:szCs w:val="18"/>
              </w:rPr>
            </w:pP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95-100</w:t>
            </w: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Borders>
              <w:top w:val="nil"/>
            </w:tcBorders>
            <w:shd w:val="clear" w:color="auto" w:fill="auto"/>
            <w:tcMar>
              <w:top w:w="0" w:type="dxa"/>
              <w:left w:w="108" w:type="dxa"/>
              <w:bottom w:w="0" w:type="dxa"/>
              <w:right w:w="108" w:type="dxa"/>
            </w:tcMar>
          </w:tcPr>
          <w:p w:rsidR="00A26F61" w:rsidRDefault="00A26F61" w:rsidP="00D11D19">
            <w:pPr>
              <w:pStyle w:val="TAC"/>
            </w:pPr>
          </w:p>
        </w:tc>
        <w:tc>
          <w:tcPr>
            <w:tcW w:w="0" w:type="auto"/>
            <w:tcBorders>
              <w:top w:val="nil"/>
              <w:bottom w:val="nil"/>
            </w:tcBorders>
            <w:shd w:val="clear" w:color="auto" w:fill="auto"/>
            <w:tcMar>
              <w:top w:w="0" w:type="dxa"/>
              <w:left w:w="108" w:type="dxa"/>
              <w:bottom w:w="0" w:type="dxa"/>
              <w:right w:w="108" w:type="dxa"/>
            </w:tcMar>
          </w:tcPr>
          <w:p w:rsidR="00A26F61" w:rsidRDefault="00A26F61" w:rsidP="00D11D19">
            <w:pPr>
              <w:pStyle w:val="TAC"/>
              <w:rPr>
                <w:rFonts w:eastAsia="Yu Mincho" w:cs="Arial"/>
                <w:szCs w:val="18"/>
              </w:rPr>
            </w:pPr>
          </w:p>
        </w:tc>
      </w:tr>
      <w:tr w:rsidR="00A26F61" w:rsidTr="00D11D19">
        <w:trPr>
          <w:trHeight w:val="195"/>
          <w:jc w:val="center"/>
        </w:trPr>
        <w:tc>
          <w:tcPr>
            <w:tcW w:w="0" w:type="auto"/>
            <w:tcMar>
              <w:top w:w="0" w:type="dxa"/>
              <w:left w:w="108" w:type="dxa"/>
              <w:bottom w:w="0" w:type="dxa"/>
              <w:right w:w="108" w:type="dxa"/>
            </w:tcMar>
          </w:tcPr>
          <w:p w:rsidR="00A26F61" w:rsidRDefault="00A26F61" w:rsidP="00D11D19">
            <w:pPr>
              <w:pStyle w:val="TAC"/>
            </w:pPr>
            <w:r>
              <w:t>± 100-105</w:t>
            </w: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Mar>
              <w:top w:w="0" w:type="dxa"/>
              <w:left w:w="108" w:type="dxa"/>
              <w:bottom w:w="0" w:type="dxa"/>
              <w:right w:w="108" w:type="dxa"/>
            </w:tcMar>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Pr>
          <w:p w:rsidR="00A26F61" w:rsidRDefault="00A26F61" w:rsidP="00D11D19">
            <w:pPr>
              <w:pStyle w:val="TAC"/>
            </w:pPr>
          </w:p>
        </w:tc>
        <w:tc>
          <w:tcPr>
            <w:tcW w:w="0" w:type="auto"/>
            <w:tcMar>
              <w:top w:w="0" w:type="dxa"/>
              <w:left w:w="108" w:type="dxa"/>
              <w:bottom w:w="0" w:type="dxa"/>
              <w:right w:w="108" w:type="dxa"/>
            </w:tcMar>
          </w:tcPr>
          <w:p w:rsidR="00A26F61" w:rsidRDefault="00A26F61" w:rsidP="00D11D19">
            <w:pPr>
              <w:pStyle w:val="TAC"/>
            </w:pPr>
            <w:r>
              <w:t>-25</w:t>
            </w:r>
          </w:p>
        </w:tc>
        <w:tc>
          <w:tcPr>
            <w:tcW w:w="0" w:type="auto"/>
            <w:tcBorders>
              <w:top w:val="nil"/>
            </w:tcBorders>
            <w:shd w:val="clear" w:color="auto" w:fill="auto"/>
            <w:tcMar>
              <w:top w:w="0" w:type="dxa"/>
              <w:left w:w="108" w:type="dxa"/>
              <w:bottom w:w="0" w:type="dxa"/>
              <w:right w:w="108" w:type="dxa"/>
            </w:tcMar>
          </w:tcPr>
          <w:p w:rsidR="00A26F61" w:rsidRDefault="00A26F61" w:rsidP="00D11D19">
            <w:pPr>
              <w:pStyle w:val="TAC"/>
              <w:rPr>
                <w:rFonts w:eastAsia="Yu Mincho" w:cs="Arial"/>
                <w:szCs w:val="18"/>
              </w:rPr>
            </w:pPr>
          </w:p>
        </w:tc>
      </w:tr>
    </w:tbl>
    <w:p w:rsidR="0043479D" w:rsidRDefault="0043479D" w:rsidP="00A26F61">
      <w:pPr>
        <w:rPr>
          <w:b/>
          <w:sz w:val="20"/>
          <w:szCs w:val="20"/>
          <w:lang w:val="en-US"/>
        </w:rPr>
      </w:pPr>
    </w:p>
    <w:p w:rsidR="00A26F61" w:rsidRPr="0043479D" w:rsidRDefault="0043479D" w:rsidP="00A26F61">
      <w:pPr>
        <w:rPr>
          <w:b/>
          <w:sz w:val="20"/>
          <w:szCs w:val="20"/>
        </w:rPr>
      </w:pPr>
      <w:r w:rsidRPr="0043479D">
        <w:rPr>
          <w:rFonts w:hint="eastAsia"/>
          <w:b/>
          <w:sz w:val="20"/>
          <w:szCs w:val="20"/>
          <w:lang w:val="en-US"/>
        </w:rPr>
        <w:t xml:space="preserve">Proposal </w:t>
      </w:r>
      <w:r>
        <w:rPr>
          <w:rFonts w:hint="eastAsia"/>
          <w:b/>
          <w:sz w:val="20"/>
          <w:szCs w:val="20"/>
          <w:lang w:val="en-US"/>
        </w:rPr>
        <w:t xml:space="preserve">3: To introduce </w:t>
      </w:r>
      <w:r w:rsidR="004419A7">
        <w:rPr>
          <w:rFonts w:hint="eastAsia"/>
          <w:b/>
          <w:sz w:val="20"/>
          <w:szCs w:val="20"/>
          <w:lang w:val="en-US"/>
        </w:rPr>
        <w:t>SEM requirements in</w:t>
      </w:r>
      <w:r>
        <w:rPr>
          <w:rFonts w:hint="eastAsia"/>
          <w:b/>
          <w:sz w:val="20"/>
          <w:szCs w:val="20"/>
          <w:lang w:val="en-US"/>
        </w:rPr>
        <w:t xml:space="preserve"> table 2-1</w:t>
      </w:r>
      <w:r>
        <w:rPr>
          <w:rFonts w:hint="eastAsia"/>
        </w:rPr>
        <w:t xml:space="preserve"> </w:t>
      </w:r>
      <w:r w:rsidRPr="0043479D">
        <w:rPr>
          <w:b/>
          <w:sz w:val="20"/>
          <w:szCs w:val="20"/>
          <w:lang w:val="en-US"/>
        </w:rPr>
        <w:t xml:space="preserve">which </w:t>
      </w:r>
      <w:r w:rsidR="002F7BEA">
        <w:rPr>
          <w:rFonts w:hint="eastAsia"/>
          <w:b/>
          <w:sz w:val="20"/>
          <w:szCs w:val="20"/>
          <w:lang w:val="en-US"/>
        </w:rPr>
        <w:t>relax</w:t>
      </w:r>
      <w:r w:rsidRPr="0043479D">
        <w:rPr>
          <w:b/>
          <w:sz w:val="20"/>
          <w:szCs w:val="20"/>
          <w:lang w:val="en-US"/>
        </w:rPr>
        <w:t xml:space="preserve"> </w:t>
      </w:r>
      <w:r w:rsidR="00D12A33">
        <w:rPr>
          <w:rFonts w:hint="eastAsia"/>
          <w:b/>
          <w:sz w:val="20"/>
          <w:szCs w:val="20"/>
          <w:lang w:val="en-US"/>
        </w:rPr>
        <w:t xml:space="preserve">the </w:t>
      </w:r>
      <w:r w:rsidRPr="0043479D">
        <w:rPr>
          <w:b/>
          <w:sz w:val="20"/>
          <w:szCs w:val="20"/>
          <w:lang w:val="en-US"/>
        </w:rPr>
        <w:t>general NR FR1 spectrum at the FOOB edge ± 0 – 5 MHz by 3dB.</w:t>
      </w:r>
    </w:p>
    <w:p w:rsidR="00BA51CE" w:rsidRDefault="00BA51CE" w:rsidP="00A26F61">
      <w:pPr>
        <w:rPr>
          <w:b/>
          <w:sz w:val="20"/>
          <w:szCs w:val="20"/>
          <w:u w:val="single"/>
          <w:lang w:val="en-US"/>
        </w:rPr>
      </w:pPr>
    </w:p>
    <w:p w:rsidR="004419A7" w:rsidRDefault="004419A7" w:rsidP="00A26F61">
      <w:pPr>
        <w:rPr>
          <w:b/>
          <w:sz w:val="20"/>
          <w:szCs w:val="20"/>
          <w:u w:val="single"/>
          <w:lang w:val="en-US"/>
        </w:rPr>
      </w:pPr>
      <w:r>
        <w:rPr>
          <w:rFonts w:hint="eastAsia"/>
          <w:b/>
          <w:sz w:val="20"/>
          <w:szCs w:val="20"/>
          <w:u w:val="single"/>
          <w:lang w:val="en-US"/>
        </w:rPr>
        <w:t>A</w:t>
      </w:r>
      <w:r w:rsidR="00472C57">
        <w:rPr>
          <w:rFonts w:hint="eastAsia"/>
          <w:b/>
          <w:sz w:val="20"/>
          <w:szCs w:val="20"/>
          <w:u w:val="single"/>
          <w:lang w:val="en-US"/>
        </w:rPr>
        <w:t>djacent channel leakage level</w:t>
      </w:r>
    </w:p>
    <w:p w:rsidR="004419A7" w:rsidRDefault="004419A7" w:rsidP="00A26F61">
      <w:pPr>
        <w:rPr>
          <w:sz w:val="20"/>
          <w:szCs w:val="20"/>
          <w:lang w:val="en-US"/>
        </w:rPr>
      </w:pPr>
      <w:r w:rsidRPr="008C1408">
        <w:rPr>
          <w:rFonts w:hint="eastAsia"/>
          <w:sz w:val="20"/>
          <w:szCs w:val="20"/>
          <w:lang w:val="en-US"/>
        </w:rPr>
        <w:t xml:space="preserve">Based on TR </w:t>
      </w:r>
      <w:r w:rsidR="008C1408">
        <w:rPr>
          <w:rFonts w:hint="eastAsia"/>
          <w:sz w:val="20"/>
          <w:szCs w:val="20"/>
          <w:lang w:val="en-US"/>
        </w:rPr>
        <w:t xml:space="preserve">38.921, it is concluded </w:t>
      </w:r>
      <w:r w:rsidR="00A53843">
        <w:rPr>
          <w:rFonts w:hint="eastAsia"/>
          <w:sz w:val="20"/>
          <w:szCs w:val="20"/>
          <w:lang w:val="en-US"/>
        </w:rPr>
        <w:t xml:space="preserve">that </w:t>
      </w:r>
      <w:r w:rsidR="00793A2F">
        <w:rPr>
          <w:rFonts w:hint="eastAsia"/>
          <w:sz w:val="20"/>
          <w:szCs w:val="20"/>
          <w:lang w:val="en-US"/>
        </w:rPr>
        <w:t>26dB</w:t>
      </w:r>
      <w:r w:rsidR="008C1408">
        <w:rPr>
          <w:rFonts w:hint="eastAsia"/>
          <w:sz w:val="20"/>
          <w:szCs w:val="20"/>
          <w:lang w:val="en-US"/>
        </w:rPr>
        <w:t xml:space="preserve"> ACLR is feasible </w:t>
      </w:r>
      <w:r w:rsidR="00A53843">
        <w:rPr>
          <w:rFonts w:hint="eastAsia"/>
          <w:sz w:val="20"/>
          <w:szCs w:val="20"/>
          <w:lang w:val="en-US"/>
        </w:rPr>
        <w:t xml:space="preserve">for system coexistence </w:t>
      </w:r>
      <w:r w:rsidR="008C1408">
        <w:rPr>
          <w:rFonts w:hint="eastAsia"/>
          <w:sz w:val="20"/>
          <w:szCs w:val="20"/>
          <w:lang w:val="en-US"/>
        </w:rPr>
        <w:t>for the frequency range of 6425-7125MHz.</w:t>
      </w:r>
    </w:p>
    <w:p w:rsidR="00A53843" w:rsidRPr="00A53843" w:rsidRDefault="00A53843" w:rsidP="00A26F61">
      <w:pPr>
        <w:rPr>
          <w:b/>
          <w:sz w:val="20"/>
          <w:szCs w:val="20"/>
          <w:lang w:val="en-US"/>
        </w:rPr>
      </w:pPr>
      <w:r w:rsidRPr="00A53843">
        <w:rPr>
          <w:rFonts w:hint="eastAsia"/>
          <w:b/>
          <w:sz w:val="20"/>
          <w:szCs w:val="20"/>
          <w:lang w:val="en-US"/>
        </w:rPr>
        <w:t xml:space="preserve">Proposal 4: To introduce </w:t>
      </w:r>
      <w:r w:rsidR="00793A2F">
        <w:rPr>
          <w:rFonts w:hint="eastAsia"/>
          <w:b/>
          <w:sz w:val="20"/>
          <w:szCs w:val="20"/>
          <w:lang w:val="en-US"/>
        </w:rPr>
        <w:t>26dB</w:t>
      </w:r>
      <w:r w:rsidR="00687E86">
        <w:rPr>
          <w:rFonts w:hint="eastAsia"/>
          <w:b/>
          <w:sz w:val="20"/>
          <w:szCs w:val="20"/>
          <w:lang w:val="en-US"/>
        </w:rPr>
        <w:t xml:space="preserve"> ACLR for</w:t>
      </w:r>
      <w:r w:rsidRPr="00A53843">
        <w:rPr>
          <w:rFonts w:hint="eastAsia"/>
          <w:b/>
          <w:sz w:val="20"/>
          <w:szCs w:val="20"/>
          <w:lang w:val="en-US"/>
        </w:rPr>
        <w:t xml:space="preserve"> 6425-7125MHz.</w:t>
      </w:r>
    </w:p>
    <w:p w:rsidR="008C1408" w:rsidRDefault="008C1408" w:rsidP="00A26F61">
      <w:pPr>
        <w:rPr>
          <w:sz w:val="20"/>
          <w:szCs w:val="20"/>
          <w:lang w:val="en-US"/>
        </w:rPr>
      </w:pPr>
    </w:p>
    <w:p w:rsidR="00697C15" w:rsidRDefault="00697C15" w:rsidP="00A26F61">
      <w:pPr>
        <w:rPr>
          <w:b/>
          <w:sz w:val="20"/>
          <w:szCs w:val="20"/>
          <w:u w:val="single"/>
          <w:lang w:val="en-US"/>
        </w:rPr>
      </w:pPr>
      <w:r w:rsidRPr="00697C15">
        <w:rPr>
          <w:rFonts w:hint="eastAsia"/>
          <w:b/>
          <w:sz w:val="20"/>
          <w:szCs w:val="20"/>
          <w:u w:val="single"/>
          <w:lang w:val="en-US"/>
        </w:rPr>
        <w:t>Spurious emission</w:t>
      </w:r>
    </w:p>
    <w:p w:rsidR="009516D8" w:rsidRDefault="009516D8" w:rsidP="00A26F61">
      <w:pPr>
        <w:rPr>
          <w:sz w:val="20"/>
          <w:szCs w:val="20"/>
          <w:lang w:val="en-US"/>
        </w:rPr>
      </w:pPr>
      <w:r>
        <w:rPr>
          <w:rFonts w:hint="eastAsia"/>
          <w:sz w:val="20"/>
          <w:szCs w:val="20"/>
          <w:lang w:val="en-US"/>
        </w:rPr>
        <w:t xml:space="preserve">Based on TR 38.921, </w:t>
      </w:r>
      <w:r w:rsidR="00E365FD">
        <w:rPr>
          <w:rFonts w:hint="eastAsia"/>
          <w:sz w:val="20"/>
          <w:szCs w:val="20"/>
          <w:lang w:val="en-US"/>
        </w:rPr>
        <w:t>the general spurious emission defined in TS 38.101-1 clause 6.5.3.1 can be reused for the frequency range of 6425-7125MHz.</w:t>
      </w:r>
    </w:p>
    <w:p w:rsidR="005949F9" w:rsidRPr="00896731" w:rsidRDefault="005949F9" w:rsidP="005949F9">
      <w:pPr>
        <w:pStyle w:val="afa"/>
        <w:numPr>
          <w:ilvl w:val="0"/>
          <w:numId w:val="26"/>
        </w:numPr>
        <w:ind w:firstLineChars="0"/>
        <w:rPr>
          <w:sz w:val="20"/>
          <w:szCs w:val="20"/>
        </w:rPr>
      </w:pPr>
      <w:r w:rsidRPr="00896731">
        <w:rPr>
          <w:sz w:val="20"/>
          <w:szCs w:val="20"/>
        </w:rPr>
        <w:t xml:space="preserve">30 MHz ≤ f ≤ 1 GHz: - 36 </w:t>
      </w:r>
      <w:proofErr w:type="spellStart"/>
      <w:r w:rsidRPr="00896731">
        <w:rPr>
          <w:sz w:val="20"/>
          <w:szCs w:val="20"/>
        </w:rPr>
        <w:t>dBm</w:t>
      </w:r>
      <w:proofErr w:type="spellEnd"/>
      <w:r w:rsidRPr="00896731">
        <w:rPr>
          <w:sz w:val="20"/>
          <w:szCs w:val="20"/>
        </w:rPr>
        <w:t xml:space="preserve"> / 100 kHz</w:t>
      </w:r>
    </w:p>
    <w:p w:rsidR="005949F9" w:rsidRPr="00896731" w:rsidRDefault="005949F9" w:rsidP="005949F9">
      <w:pPr>
        <w:pStyle w:val="afa"/>
        <w:numPr>
          <w:ilvl w:val="0"/>
          <w:numId w:val="26"/>
        </w:numPr>
        <w:ind w:firstLineChars="0"/>
        <w:rPr>
          <w:sz w:val="20"/>
          <w:szCs w:val="20"/>
        </w:rPr>
      </w:pPr>
      <w:r w:rsidRPr="00896731">
        <w:rPr>
          <w:sz w:val="20"/>
          <w:szCs w:val="20"/>
        </w:rPr>
        <w:t xml:space="preserve">1 GHz ≤ f ≤ 26 GHz: - 30 </w:t>
      </w:r>
      <w:proofErr w:type="spellStart"/>
      <w:r w:rsidRPr="00896731">
        <w:rPr>
          <w:sz w:val="20"/>
          <w:szCs w:val="20"/>
        </w:rPr>
        <w:t>dBm</w:t>
      </w:r>
      <w:proofErr w:type="spellEnd"/>
      <w:r w:rsidRPr="00896731">
        <w:rPr>
          <w:sz w:val="20"/>
          <w:szCs w:val="20"/>
        </w:rPr>
        <w:t xml:space="preserve"> / 1 MHz</w:t>
      </w:r>
    </w:p>
    <w:p w:rsidR="005949F9" w:rsidRDefault="005949F9" w:rsidP="00A26F61">
      <w:pPr>
        <w:rPr>
          <w:rFonts w:hint="eastAsia"/>
          <w:b/>
          <w:sz w:val="20"/>
          <w:szCs w:val="20"/>
          <w:lang w:val="en-US"/>
        </w:rPr>
      </w:pPr>
      <w:r w:rsidRPr="00896731">
        <w:rPr>
          <w:rFonts w:hint="eastAsia"/>
          <w:b/>
          <w:sz w:val="20"/>
          <w:szCs w:val="20"/>
          <w:lang w:val="en-US"/>
        </w:rPr>
        <w:t xml:space="preserve">Proposal 5: To reuse </w:t>
      </w:r>
      <w:r w:rsidR="00896731" w:rsidRPr="00896731">
        <w:rPr>
          <w:rFonts w:hint="eastAsia"/>
          <w:b/>
          <w:sz w:val="20"/>
          <w:szCs w:val="20"/>
          <w:lang w:val="en-US"/>
        </w:rPr>
        <w:t>the general spurious emission defined in TS 38.101-1 clause 6.5.3.1 for the frequency range of 6425-7125MHz.</w:t>
      </w:r>
    </w:p>
    <w:p w:rsidR="00B5178D" w:rsidRPr="00896731" w:rsidRDefault="00B5178D" w:rsidP="00A26F61">
      <w:pPr>
        <w:rPr>
          <w:b/>
          <w:sz w:val="20"/>
          <w:szCs w:val="20"/>
          <w:lang w:val="en-US"/>
        </w:rPr>
      </w:pPr>
    </w:p>
    <w:p w:rsidR="008C3769" w:rsidRPr="00A85915" w:rsidRDefault="008C3769" w:rsidP="00A85915">
      <w:pPr>
        <w:rPr>
          <w:b/>
          <w:sz w:val="20"/>
          <w:szCs w:val="20"/>
          <w:u w:val="single"/>
        </w:rPr>
      </w:pPr>
      <w:r w:rsidRPr="00A85915">
        <w:rPr>
          <w:rFonts w:hint="eastAsia"/>
          <w:b/>
          <w:sz w:val="20"/>
          <w:szCs w:val="20"/>
          <w:u w:val="single"/>
        </w:rPr>
        <w:t>Adjacent channel selectivity</w:t>
      </w:r>
    </w:p>
    <w:p w:rsidR="00F610A1" w:rsidRDefault="00F610A1" w:rsidP="00F610A1">
      <w:pPr>
        <w:rPr>
          <w:sz w:val="20"/>
          <w:szCs w:val="20"/>
        </w:rPr>
      </w:pPr>
      <w:r>
        <w:rPr>
          <w:rFonts w:hint="eastAsia"/>
          <w:sz w:val="20"/>
          <w:szCs w:val="20"/>
        </w:rPr>
        <w:t xml:space="preserve">Based on TR 38.921, </w:t>
      </w:r>
      <w:r w:rsidRPr="00F610A1">
        <w:rPr>
          <w:sz w:val="20"/>
          <w:szCs w:val="20"/>
        </w:rPr>
        <w:t xml:space="preserve">adjacent channel selectivity (ACS) is agreed as 32 </w:t>
      </w:r>
      <w:proofErr w:type="spellStart"/>
      <w:r w:rsidRPr="00F610A1">
        <w:rPr>
          <w:sz w:val="20"/>
          <w:szCs w:val="20"/>
        </w:rPr>
        <w:t>dBc</w:t>
      </w:r>
      <w:proofErr w:type="spellEnd"/>
      <w:r w:rsidRPr="00F610A1">
        <w:rPr>
          <w:sz w:val="20"/>
          <w:szCs w:val="20"/>
        </w:rPr>
        <w:t xml:space="preserve"> for 6425</w:t>
      </w:r>
      <w:r>
        <w:rPr>
          <w:rFonts w:hint="eastAsia"/>
          <w:sz w:val="20"/>
          <w:szCs w:val="20"/>
        </w:rPr>
        <w:t>-</w:t>
      </w:r>
      <w:r>
        <w:rPr>
          <w:sz w:val="20"/>
          <w:szCs w:val="20"/>
        </w:rPr>
        <w:t>7125</w:t>
      </w:r>
      <w:r w:rsidRPr="00F610A1">
        <w:rPr>
          <w:sz w:val="20"/>
          <w:szCs w:val="20"/>
        </w:rPr>
        <w:t>MHz</w:t>
      </w:r>
      <w:r>
        <w:rPr>
          <w:rFonts w:hint="eastAsia"/>
          <w:sz w:val="20"/>
          <w:szCs w:val="20"/>
        </w:rPr>
        <w:t>.</w:t>
      </w:r>
    </w:p>
    <w:p w:rsidR="00243ED6" w:rsidRDefault="00F610A1" w:rsidP="00B9442F">
      <w:pPr>
        <w:rPr>
          <w:rFonts w:hint="eastAsia"/>
          <w:b/>
          <w:sz w:val="20"/>
          <w:szCs w:val="20"/>
        </w:rPr>
      </w:pPr>
      <w:r w:rsidRPr="00F610A1">
        <w:rPr>
          <w:rFonts w:hint="eastAsia"/>
          <w:b/>
          <w:sz w:val="20"/>
          <w:szCs w:val="20"/>
        </w:rPr>
        <w:lastRenderedPageBreak/>
        <w:t xml:space="preserve">Proposal </w:t>
      </w:r>
      <w:r w:rsidR="006153E5">
        <w:rPr>
          <w:rFonts w:hint="eastAsia"/>
          <w:b/>
          <w:sz w:val="20"/>
          <w:szCs w:val="20"/>
        </w:rPr>
        <w:t>6</w:t>
      </w:r>
      <w:r w:rsidRPr="00F610A1">
        <w:rPr>
          <w:rFonts w:hint="eastAsia"/>
          <w:b/>
          <w:sz w:val="20"/>
          <w:szCs w:val="20"/>
        </w:rPr>
        <w:t xml:space="preserve">: </w:t>
      </w:r>
      <w:r w:rsidR="00117469">
        <w:rPr>
          <w:rFonts w:hint="eastAsia"/>
          <w:b/>
          <w:sz w:val="20"/>
          <w:szCs w:val="20"/>
        </w:rPr>
        <w:t>To introduce 32dBc ACS for 6425-7125MHz.</w:t>
      </w:r>
    </w:p>
    <w:p w:rsidR="00580CEE" w:rsidRPr="007A50A6" w:rsidRDefault="007A50A6" w:rsidP="00B9442F">
      <w:pPr>
        <w:rPr>
          <w:sz w:val="20"/>
          <w:szCs w:val="20"/>
        </w:rPr>
      </w:pPr>
      <w:bookmarkStart w:id="4" w:name="OLE_LINK3"/>
      <w:bookmarkStart w:id="5" w:name="OLE_LINK4"/>
      <w:r w:rsidRPr="007A50A6">
        <w:rPr>
          <w:rFonts w:hint="eastAsia"/>
          <w:sz w:val="20"/>
          <w:szCs w:val="20"/>
        </w:rPr>
        <w:t xml:space="preserve">Our </w:t>
      </w:r>
      <w:r w:rsidRPr="007A50A6">
        <w:rPr>
          <w:sz w:val="20"/>
          <w:szCs w:val="20"/>
        </w:rPr>
        <w:t>compan</w:t>
      </w:r>
      <w:r w:rsidRPr="007A50A6">
        <w:rPr>
          <w:rFonts w:hint="eastAsia"/>
          <w:sz w:val="20"/>
          <w:szCs w:val="20"/>
        </w:rPr>
        <w:t>ion draft CR is also provide</w:t>
      </w:r>
      <w:r w:rsidR="00286E8D">
        <w:rPr>
          <w:rFonts w:hint="eastAsia"/>
          <w:sz w:val="20"/>
          <w:szCs w:val="20"/>
        </w:rPr>
        <w:t>d</w:t>
      </w:r>
      <w:r w:rsidRPr="007A50A6">
        <w:rPr>
          <w:rFonts w:hint="eastAsia"/>
          <w:sz w:val="20"/>
          <w:szCs w:val="20"/>
        </w:rPr>
        <w:t xml:space="preserve"> in </w:t>
      </w:r>
      <w:r w:rsidR="00BA42C6">
        <w:rPr>
          <w:rFonts w:hint="eastAsia"/>
          <w:sz w:val="20"/>
          <w:szCs w:val="20"/>
        </w:rPr>
        <w:t>[5].</w:t>
      </w:r>
    </w:p>
    <w:bookmarkEnd w:id="4"/>
    <w:bookmarkEnd w:id="5"/>
    <w:p w:rsidR="00D741A4" w:rsidRPr="00A455C0" w:rsidRDefault="00A62A0E"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973B9C">
        <w:rPr>
          <w:rFonts w:hint="eastAsia"/>
          <w:sz w:val="20"/>
          <w:lang w:val="en-US"/>
        </w:rPr>
        <w:t xml:space="preserve">mainly </w:t>
      </w:r>
      <w:r w:rsidR="00F6142A">
        <w:rPr>
          <w:rFonts w:hint="eastAsia"/>
          <w:sz w:val="20"/>
          <w:lang w:val="en-US"/>
        </w:rPr>
        <w:t>discuss</w:t>
      </w:r>
      <w:r w:rsidR="00784284">
        <w:rPr>
          <w:rFonts w:hint="eastAsia"/>
          <w:sz w:val="20"/>
          <w:lang w:val="en-US"/>
        </w:rPr>
        <w:t>es</w:t>
      </w:r>
      <w:r w:rsidR="00766B54">
        <w:rPr>
          <w:rFonts w:hint="eastAsia"/>
          <w:sz w:val="20"/>
          <w:lang w:val="en-US"/>
        </w:rPr>
        <w:t xml:space="preserve"> </w:t>
      </w:r>
      <w:r w:rsidR="00BA5F60">
        <w:rPr>
          <w:rFonts w:hint="eastAsia"/>
          <w:sz w:val="20"/>
        </w:rPr>
        <w:t>UE RF requirements for 6GHz licensed band</w:t>
      </w:r>
      <w:r w:rsidR="00784284">
        <w:rPr>
          <w:rFonts w:hint="eastAsia"/>
          <w:sz w:val="20"/>
          <w:lang w:val="en-US"/>
        </w:rPr>
        <w:t xml:space="preserve">. The following </w:t>
      </w:r>
      <w:r w:rsidR="003F12D0">
        <w:rPr>
          <w:rFonts w:hint="eastAsia"/>
          <w:sz w:val="20"/>
          <w:lang w:val="en-US"/>
        </w:rPr>
        <w:t>proposal</w:t>
      </w:r>
      <w:r w:rsidR="00BB76D8">
        <w:rPr>
          <w:rFonts w:hint="eastAsia"/>
          <w:sz w:val="20"/>
          <w:lang w:val="en-US"/>
        </w:rPr>
        <w:t>s</w:t>
      </w:r>
      <w:r w:rsidR="003F12D0">
        <w:rPr>
          <w:rFonts w:hint="eastAsia"/>
          <w:sz w:val="20"/>
          <w:lang w:val="en-US"/>
        </w:rPr>
        <w:t xml:space="preserve"> </w:t>
      </w:r>
      <w:r w:rsidR="00784284">
        <w:rPr>
          <w:rFonts w:hint="eastAsia"/>
          <w:sz w:val="20"/>
          <w:lang w:val="en-US"/>
        </w:rPr>
        <w:t>are derived:</w:t>
      </w:r>
    </w:p>
    <w:p w:rsidR="00B9442F" w:rsidRDefault="00B9442F" w:rsidP="00B9442F">
      <w:pPr>
        <w:rPr>
          <w:b/>
          <w:sz w:val="20"/>
          <w:szCs w:val="20"/>
        </w:rPr>
      </w:pPr>
      <w:r w:rsidRPr="006326D4">
        <w:rPr>
          <w:rFonts w:hint="eastAsia"/>
          <w:b/>
          <w:sz w:val="20"/>
          <w:szCs w:val="20"/>
        </w:rPr>
        <w:t xml:space="preserve">Proposal 1: To introduce PC3 (23dBm) maximum output power as a starting point </w:t>
      </w:r>
      <w:r>
        <w:rPr>
          <w:rFonts w:hint="eastAsia"/>
          <w:b/>
          <w:sz w:val="20"/>
          <w:szCs w:val="20"/>
        </w:rPr>
        <w:t>f</w:t>
      </w:r>
      <w:r>
        <w:rPr>
          <w:b/>
          <w:sz w:val="20"/>
          <w:szCs w:val="20"/>
        </w:rPr>
        <w:t>or</w:t>
      </w:r>
      <w:r>
        <w:rPr>
          <w:rFonts w:hint="eastAsia"/>
          <w:b/>
          <w:sz w:val="20"/>
          <w:szCs w:val="20"/>
        </w:rPr>
        <w:t xml:space="preserve"> </w:t>
      </w:r>
      <w:r w:rsidRPr="006326D4">
        <w:rPr>
          <w:b/>
          <w:sz w:val="20"/>
          <w:szCs w:val="20"/>
        </w:rPr>
        <w:t>6425 -7125MHz.</w:t>
      </w:r>
    </w:p>
    <w:p w:rsidR="00B9442F" w:rsidRPr="006B1ABB" w:rsidRDefault="00B9442F" w:rsidP="00B9442F">
      <w:pPr>
        <w:rPr>
          <w:b/>
          <w:sz w:val="20"/>
          <w:szCs w:val="20"/>
        </w:rPr>
      </w:pPr>
      <w:r w:rsidRPr="006B1ABB">
        <w:rPr>
          <w:rFonts w:hint="eastAsia"/>
          <w:b/>
          <w:sz w:val="20"/>
          <w:szCs w:val="20"/>
        </w:rPr>
        <w:t xml:space="preserve">Proposal 2: </w:t>
      </w:r>
      <w:r>
        <w:rPr>
          <w:rFonts w:hint="eastAsia"/>
          <w:b/>
          <w:sz w:val="20"/>
          <w:szCs w:val="20"/>
        </w:rPr>
        <w:t xml:space="preserve">To reuse the </w:t>
      </w:r>
      <w:r>
        <w:rPr>
          <w:b/>
          <w:sz w:val="20"/>
          <w:szCs w:val="20"/>
        </w:rPr>
        <w:t>minimum</w:t>
      </w:r>
      <w:r>
        <w:rPr>
          <w:rFonts w:hint="eastAsia"/>
          <w:b/>
          <w:sz w:val="20"/>
          <w:szCs w:val="20"/>
        </w:rPr>
        <w:t xml:space="preserve"> output power, i.e. -33dBm and the power dynamic range, i.e. 56dB for 100MHz channel bandwidth for </w:t>
      </w:r>
      <w:r w:rsidRPr="006326D4">
        <w:rPr>
          <w:b/>
          <w:sz w:val="20"/>
          <w:szCs w:val="20"/>
        </w:rPr>
        <w:t>6425 -7125MHz.</w:t>
      </w:r>
    </w:p>
    <w:p w:rsidR="00B9442F" w:rsidRPr="0043479D" w:rsidRDefault="00B9442F" w:rsidP="00B9442F">
      <w:pPr>
        <w:rPr>
          <w:b/>
          <w:sz w:val="20"/>
          <w:szCs w:val="20"/>
        </w:rPr>
      </w:pPr>
      <w:r w:rsidRPr="0043479D">
        <w:rPr>
          <w:rFonts w:hint="eastAsia"/>
          <w:b/>
          <w:sz w:val="20"/>
          <w:szCs w:val="20"/>
          <w:lang w:val="en-US"/>
        </w:rPr>
        <w:t xml:space="preserve">Proposal </w:t>
      </w:r>
      <w:r>
        <w:rPr>
          <w:rFonts w:hint="eastAsia"/>
          <w:b/>
          <w:sz w:val="20"/>
          <w:szCs w:val="20"/>
          <w:lang w:val="en-US"/>
        </w:rPr>
        <w:t>3: To introduce SEM requirements in table 2-1</w:t>
      </w:r>
      <w:r>
        <w:rPr>
          <w:rFonts w:hint="eastAsia"/>
        </w:rPr>
        <w:t xml:space="preserve"> </w:t>
      </w:r>
      <w:r w:rsidRPr="0043479D">
        <w:rPr>
          <w:b/>
          <w:sz w:val="20"/>
          <w:szCs w:val="20"/>
          <w:lang w:val="en-US"/>
        </w:rPr>
        <w:t xml:space="preserve">which </w:t>
      </w:r>
      <w:r>
        <w:rPr>
          <w:rFonts w:hint="eastAsia"/>
          <w:b/>
          <w:sz w:val="20"/>
          <w:szCs w:val="20"/>
          <w:lang w:val="en-US"/>
        </w:rPr>
        <w:t>relax</w:t>
      </w:r>
      <w:r w:rsidRPr="0043479D">
        <w:rPr>
          <w:b/>
          <w:sz w:val="20"/>
          <w:szCs w:val="20"/>
          <w:lang w:val="en-US"/>
        </w:rPr>
        <w:t xml:space="preserve"> </w:t>
      </w:r>
      <w:r>
        <w:rPr>
          <w:rFonts w:hint="eastAsia"/>
          <w:b/>
          <w:sz w:val="20"/>
          <w:szCs w:val="20"/>
          <w:lang w:val="en-US"/>
        </w:rPr>
        <w:t xml:space="preserve">the </w:t>
      </w:r>
      <w:r w:rsidRPr="0043479D">
        <w:rPr>
          <w:b/>
          <w:sz w:val="20"/>
          <w:szCs w:val="20"/>
          <w:lang w:val="en-US"/>
        </w:rPr>
        <w:t>general NR FR1 spectrum at the FOOB edge ± 0 – 5 MHz by 3dB.</w:t>
      </w:r>
    </w:p>
    <w:p w:rsidR="00B9442F" w:rsidRPr="00A53843" w:rsidRDefault="00B9442F" w:rsidP="00B9442F">
      <w:pPr>
        <w:rPr>
          <w:b/>
          <w:sz w:val="20"/>
          <w:szCs w:val="20"/>
          <w:lang w:val="en-US"/>
        </w:rPr>
      </w:pPr>
      <w:r w:rsidRPr="00A53843">
        <w:rPr>
          <w:rFonts w:hint="eastAsia"/>
          <w:b/>
          <w:sz w:val="20"/>
          <w:szCs w:val="20"/>
          <w:lang w:val="en-US"/>
        </w:rPr>
        <w:t xml:space="preserve">Proposal 4: To introduce </w:t>
      </w:r>
      <w:r>
        <w:rPr>
          <w:rFonts w:hint="eastAsia"/>
          <w:b/>
          <w:sz w:val="20"/>
          <w:szCs w:val="20"/>
          <w:lang w:val="en-US"/>
        </w:rPr>
        <w:t>26dB ACLR for</w:t>
      </w:r>
      <w:r w:rsidRPr="00A53843">
        <w:rPr>
          <w:rFonts w:hint="eastAsia"/>
          <w:b/>
          <w:sz w:val="20"/>
          <w:szCs w:val="20"/>
          <w:lang w:val="en-US"/>
        </w:rPr>
        <w:t xml:space="preserve"> 6425-7125MHz.</w:t>
      </w:r>
    </w:p>
    <w:p w:rsidR="00B9442F" w:rsidRDefault="00B9442F" w:rsidP="00B9442F">
      <w:pPr>
        <w:rPr>
          <w:rFonts w:hint="eastAsia"/>
          <w:b/>
          <w:sz w:val="20"/>
          <w:szCs w:val="20"/>
          <w:lang w:val="en-US"/>
        </w:rPr>
      </w:pPr>
      <w:r w:rsidRPr="00896731">
        <w:rPr>
          <w:rFonts w:hint="eastAsia"/>
          <w:b/>
          <w:sz w:val="20"/>
          <w:szCs w:val="20"/>
          <w:lang w:val="en-US"/>
        </w:rPr>
        <w:t>Proposal 5: To reuse the general spurious emission defined in TS 38.101-1 clause 6.5.3.1 for the frequency range of 6425-7125MHz.</w:t>
      </w:r>
    </w:p>
    <w:p w:rsidR="00F54FB9" w:rsidRPr="00B9442F" w:rsidRDefault="00B9442F" w:rsidP="00B9442F">
      <w:pPr>
        <w:rPr>
          <w:b/>
          <w:sz w:val="20"/>
          <w:szCs w:val="20"/>
        </w:rPr>
      </w:pPr>
      <w:r w:rsidRPr="00F610A1">
        <w:rPr>
          <w:rFonts w:hint="eastAsia"/>
          <w:b/>
          <w:sz w:val="20"/>
          <w:szCs w:val="20"/>
        </w:rPr>
        <w:t xml:space="preserve">Proposal </w:t>
      </w:r>
      <w:r>
        <w:rPr>
          <w:rFonts w:hint="eastAsia"/>
          <w:b/>
          <w:sz w:val="20"/>
          <w:szCs w:val="20"/>
        </w:rPr>
        <w:t>6</w:t>
      </w:r>
      <w:r w:rsidRPr="00F610A1">
        <w:rPr>
          <w:rFonts w:hint="eastAsia"/>
          <w:b/>
          <w:sz w:val="20"/>
          <w:szCs w:val="20"/>
        </w:rPr>
        <w:t xml:space="preserve">: </w:t>
      </w:r>
      <w:r>
        <w:rPr>
          <w:rFonts w:hint="eastAsia"/>
          <w:b/>
          <w:sz w:val="20"/>
          <w:szCs w:val="20"/>
        </w:rPr>
        <w:t>To introduce 32dBc ACS for 6425-7125MHz.</w:t>
      </w:r>
    </w:p>
    <w:p w:rsidR="00966359" w:rsidRPr="000C4684" w:rsidRDefault="00EE45A3"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E34F97" w:rsidRDefault="00E34F97" w:rsidP="00E34F97">
      <w:pPr>
        <w:pStyle w:val="ab"/>
        <w:numPr>
          <w:ilvl w:val="0"/>
          <w:numId w:val="25"/>
        </w:numPr>
        <w:jc w:val="left"/>
        <w:rPr>
          <w:sz w:val="20"/>
        </w:rPr>
      </w:pPr>
      <w:r w:rsidRPr="00606797">
        <w:rPr>
          <w:sz w:val="20"/>
        </w:rPr>
        <w:t>RP-213696</w:t>
      </w:r>
      <w:r>
        <w:rPr>
          <w:rFonts w:hint="eastAsia"/>
          <w:sz w:val="20"/>
        </w:rPr>
        <w:t xml:space="preserve">, </w:t>
      </w:r>
      <w:r w:rsidRPr="00606797">
        <w:rPr>
          <w:sz w:val="20"/>
        </w:rPr>
        <w:t>Revised WID: Introduction of 6GHz NR licensed bands</w:t>
      </w:r>
      <w:r w:rsidRPr="00606797">
        <w:rPr>
          <w:rFonts w:hint="eastAsia"/>
          <w:sz w:val="20"/>
        </w:rPr>
        <w:t xml:space="preserve">, </w:t>
      </w:r>
      <w:r w:rsidRPr="00606797">
        <w:rPr>
          <w:sz w:val="20"/>
        </w:rPr>
        <w:t xml:space="preserve">Huawei, </w:t>
      </w:r>
      <w:proofErr w:type="spellStart"/>
      <w:r w:rsidRPr="00606797">
        <w:rPr>
          <w:sz w:val="20"/>
        </w:rPr>
        <w:t>HiSilicon</w:t>
      </w:r>
      <w:proofErr w:type="spellEnd"/>
      <w:r>
        <w:rPr>
          <w:rFonts w:hint="eastAsia"/>
          <w:sz w:val="20"/>
        </w:rPr>
        <w:t xml:space="preserve">, </w:t>
      </w:r>
      <w:r w:rsidRPr="00606797">
        <w:rPr>
          <w:rFonts w:hint="eastAsia"/>
          <w:sz w:val="20"/>
        </w:rPr>
        <w:t>RAN#</w:t>
      </w:r>
      <w:r>
        <w:rPr>
          <w:rFonts w:hint="eastAsia"/>
          <w:sz w:val="20"/>
        </w:rPr>
        <w:t>94</w:t>
      </w:r>
      <w:r w:rsidRPr="00606797">
        <w:rPr>
          <w:rFonts w:hint="eastAsia"/>
          <w:sz w:val="20"/>
        </w:rPr>
        <w:t>e</w:t>
      </w:r>
    </w:p>
    <w:p w:rsidR="00E34F97" w:rsidRDefault="00E34F97" w:rsidP="00E34F97">
      <w:pPr>
        <w:pStyle w:val="ab"/>
        <w:numPr>
          <w:ilvl w:val="0"/>
          <w:numId w:val="25"/>
        </w:numPr>
        <w:jc w:val="left"/>
        <w:rPr>
          <w:sz w:val="20"/>
        </w:rPr>
      </w:pPr>
      <w:r w:rsidRPr="00E34F97">
        <w:rPr>
          <w:sz w:val="20"/>
        </w:rPr>
        <w:t>RP-213605,</w:t>
      </w:r>
      <w:r w:rsidRPr="00E34F97">
        <w:rPr>
          <w:rFonts w:hint="eastAsia"/>
          <w:sz w:val="20"/>
        </w:rPr>
        <w:t xml:space="preserve"> </w:t>
      </w:r>
      <w:r w:rsidRPr="00E34F97">
        <w:rPr>
          <w:sz w:val="20"/>
        </w:rPr>
        <w:t>LS on inclusion of the 6425-7125 MHz frequency band in the 3GPP specification for 5G-NR/IMT-2000 systems, Regional Commonwealth in the field of Communication (RCC)</w:t>
      </w:r>
    </w:p>
    <w:p w:rsidR="00E06474" w:rsidRPr="00E06474" w:rsidRDefault="00E06474" w:rsidP="00E06474">
      <w:pPr>
        <w:pStyle w:val="afa"/>
        <w:numPr>
          <w:ilvl w:val="0"/>
          <w:numId w:val="25"/>
        </w:numPr>
        <w:ind w:firstLineChars="0"/>
        <w:rPr>
          <w:kern w:val="0"/>
          <w:sz w:val="20"/>
          <w:szCs w:val="22"/>
        </w:rPr>
      </w:pPr>
      <w:r w:rsidRPr="00E06474">
        <w:rPr>
          <w:kern w:val="0"/>
          <w:sz w:val="20"/>
          <w:szCs w:val="22"/>
        </w:rPr>
        <w:t>RCC Recommendation 1/21, Harmonization of the technical conditions for 5G-NR / IMT-2020 systems in the RCC countries in the frequency band 6 425-7 125 MHz or in its portions</w:t>
      </w:r>
    </w:p>
    <w:p w:rsidR="00E34F97" w:rsidRDefault="001E7A1E" w:rsidP="00867E58">
      <w:pPr>
        <w:pStyle w:val="ab"/>
        <w:numPr>
          <w:ilvl w:val="0"/>
          <w:numId w:val="25"/>
        </w:numPr>
        <w:jc w:val="left"/>
        <w:rPr>
          <w:rFonts w:hint="eastAsia"/>
          <w:sz w:val="20"/>
        </w:rPr>
      </w:pPr>
      <w:r>
        <w:rPr>
          <w:sz w:val="20"/>
        </w:rPr>
        <w:t>TR 38.921</w:t>
      </w:r>
      <w:r w:rsidR="00867E58">
        <w:rPr>
          <w:rFonts w:hint="eastAsia"/>
          <w:sz w:val="20"/>
        </w:rPr>
        <w:t xml:space="preserve">, </w:t>
      </w:r>
      <w:r w:rsidR="00867E58" w:rsidRPr="00867E58">
        <w:rPr>
          <w:sz w:val="20"/>
        </w:rPr>
        <w:t>Study on International Mobile Telecommunications (IMT) parameters for 6.425-7.025GHz, 7.025-7.125GHz and 10.0-10.5 GHz</w:t>
      </w:r>
      <w:r w:rsidR="00867E58">
        <w:rPr>
          <w:rFonts w:hint="eastAsia"/>
          <w:sz w:val="20"/>
        </w:rPr>
        <w:t xml:space="preserve"> </w:t>
      </w:r>
      <w:r w:rsidR="00867E58" w:rsidRPr="00867E58">
        <w:rPr>
          <w:sz w:val="20"/>
        </w:rPr>
        <w:t>(Release 17)</w:t>
      </w:r>
    </w:p>
    <w:p w:rsidR="00BA42C6" w:rsidRPr="00867E58" w:rsidRDefault="00BA42C6" w:rsidP="00BA42C6">
      <w:pPr>
        <w:pStyle w:val="ab"/>
        <w:numPr>
          <w:ilvl w:val="0"/>
          <w:numId w:val="25"/>
        </w:numPr>
        <w:jc w:val="left"/>
        <w:rPr>
          <w:sz w:val="20"/>
        </w:rPr>
      </w:pPr>
      <w:r w:rsidRPr="00BA42C6">
        <w:rPr>
          <w:sz w:val="20"/>
        </w:rPr>
        <w:t>Draft CR for TS 38.101-1, Introduction of 6GHz licensed band for UE</w:t>
      </w:r>
      <w:r>
        <w:rPr>
          <w:rFonts w:hint="eastAsia"/>
          <w:sz w:val="20"/>
        </w:rPr>
        <w:t>, CATT, RAN4#101bis-e</w:t>
      </w:r>
    </w:p>
    <w:sectPr w:rsidR="00BA42C6" w:rsidRPr="00867E5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439" w:rsidRDefault="00373439" w:rsidP="0095591C">
      <w:pPr>
        <w:spacing w:after="60"/>
        <w:ind w:left="210"/>
      </w:pPr>
      <w:r>
        <w:separator/>
      </w:r>
    </w:p>
  </w:endnote>
  <w:endnote w:type="continuationSeparator" w:id="0">
    <w:p w:rsidR="00373439" w:rsidRDefault="0037343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A6B" w:rsidRDefault="003C4A6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314DB">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439" w:rsidRDefault="00373439" w:rsidP="0095591C">
      <w:pPr>
        <w:spacing w:after="60"/>
        <w:ind w:left="210"/>
      </w:pPr>
      <w:r>
        <w:separator/>
      </w:r>
    </w:p>
  </w:footnote>
  <w:footnote w:type="continuationSeparator" w:id="0">
    <w:p w:rsidR="00373439" w:rsidRDefault="0037343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A6B" w:rsidRDefault="003C4A6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95503C"/>
    <w:multiLevelType w:val="hybridMultilevel"/>
    <w:tmpl w:val="8DB613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6E11F43"/>
    <w:multiLevelType w:val="hybridMultilevel"/>
    <w:tmpl w:val="05BC808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40B0C2A"/>
    <w:multiLevelType w:val="hybridMultilevel"/>
    <w:tmpl w:val="AF3AD74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633C3C16"/>
    <w:multiLevelType w:val="hybridMultilevel"/>
    <w:tmpl w:val="D45C804A"/>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82166D8"/>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9E22AF3"/>
    <w:multiLevelType w:val="hybridMultilevel"/>
    <w:tmpl w:val="F05A57BC"/>
    <w:lvl w:ilvl="0" w:tplc="12E8C98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15"/>
  </w:num>
  <w:num w:numId="4">
    <w:abstractNumId w:val="6"/>
  </w:num>
  <w:num w:numId="5">
    <w:abstractNumId w:val="22"/>
  </w:num>
  <w:num w:numId="6">
    <w:abstractNumId w:val="2"/>
  </w:num>
  <w:num w:numId="7">
    <w:abstractNumId w:val="16"/>
  </w:num>
  <w:num w:numId="8">
    <w:abstractNumId w:val="9"/>
  </w:num>
  <w:num w:numId="9">
    <w:abstractNumId w:val="20"/>
  </w:num>
  <w:num w:numId="10">
    <w:abstractNumId w:val="23"/>
  </w:num>
  <w:num w:numId="11">
    <w:abstractNumId w:val="25"/>
  </w:num>
  <w:num w:numId="12">
    <w:abstractNumId w:val="12"/>
  </w:num>
  <w:num w:numId="13">
    <w:abstractNumId w:val="13"/>
  </w:num>
  <w:num w:numId="14">
    <w:abstractNumId w:val="8"/>
  </w:num>
  <w:num w:numId="15">
    <w:abstractNumId w:val="19"/>
  </w:num>
  <w:num w:numId="16">
    <w:abstractNumId w:val="0"/>
  </w:num>
  <w:num w:numId="17">
    <w:abstractNumId w:val="11"/>
  </w:num>
  <w:num w:numId="18">
    <w:abstractNumId w:val="17"/>
  </w:num>
  <w:num w:numId="19">
    <w:abstractNumId w:val="7"/>
  </w:num>
  <w:num w:numId="20">
    <w:abstractNumId w:val="5"/>
  </w:num>
  <w:num w:numId="21">
    <w:abstractNumId w:val="4"/>
  </w:num>
  <w:num w:numId="22">
    <w:abstractNumId w:val="14"/>
  </w:num>
  <w:num w:numId="23">
    <w:abstractNumId w:val="10"/>
  </w:num>
  <w:num w:numId="24">
    <w:abstractNumId w:val="21"/>
  </w:num>
  <w:num w:numId="25">
    <w:abstractNumId w:val="24"/>
  </w:num>
  <w:num w:numId="26">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43"/>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731"/>
    <w:rsid w:val="00013E4A"/>
    <w:rsid w:val="00014364"/>
    <w:rsid w:val="00014D86"/>
    <w:rsid w:val="0001585C"/>
    <w:rsid w:val="000162AE"/>
    <w:rsid w:val="00016747"/>
    <w:rsid w:val="00016A70"/>
    <w:rsid w:val="00016A7B"/>
    <w:rsid w:val="00017C2C"/>
    <w:rsid w:val="000202A9"/>
    <w:rsid w:val="00020811"/>
    <w:rsid w:val="000215D2"/>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DF4"/>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9F"/>
    <w:rsid w:val="00045FD9"/>
    <w:rsid w:val="00046636"/>
    <w:rsid w:val="00047A44"/>
    <w:rsid w:val="00051A1C"/>
    <w:rsid w:val="00051DF7"/>
    <w:rsid w:val="00051E0A"/>
    <w:rsid w:val="00052A17"/>
    <w:rsid w:val="00052BBE"/>
    <w:rsid w:val="00053439"/>
    <w:rsid w:val="00053B8F"/>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676"/>
    <w:rsid w:val="0006277E"/>
    <w:rsid w:val="00062CE1"/>
    <w:rsid w:val="000631B6"/>
    <w:rsid w:val="00063CB7"/>
    <w:rsid w:val="00063F75"/>
    <w:rsid w:val="00064AD2"/>
    <w:rsid w:val="00064BBF"/>
    <w:rsid w:val="0006525D"/>
    <w:rsid w:val="000654EF"/>
    <w:rsid w:val="00066925"/>
    <w:rsid w:val="00066F7E"/>
    <w:rsid w:val="00067C58"/>
    <w:rsid w:val="00070174"/>
    <w:rsid w:val="00070416"/>
    <w:rsid w:val="0007112E"/>
    <w:rsid w:val="00071CC3"/>
    <w:rsid w:val="00071F41"/>
    <w:rsid w:val="0007217E"/>
    <w:rsid w:val="00072825"/>
    <w:rsid w:val="00072C64"/>
    <w:rsid w:val="000733A4"/>
    <w:rsid w:val="00073720"/>
    <w:rsid w:val="00073947"/>
    <w:rsid w:val="00073B2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601"/>
    <w:rsid w:val="00085A66"/>
    <w:rsid w:val="00085A7A"/>
    <w:rsid w:val="00085B71"/>
    <w:rsid w:val="00086811"/>
    <w:rsid w:val="00086E12"/>
    <w:rsid w:val="00087174"/>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6D75"/>
    <w:rsid w:val="00097BE5"/>
    <w:rsid w:val="000A0D44"/>
    <w:rsid w:val="000A0E87"/>
    <w:rsid w:val="000A17DB"/>
    <w:rsid w:val="000A1E6E"/>
    <w:rsid w:val="000A1F41"/>
    <w:rsid w:val="000A3401"/>
    <w:rsid w:val="000A41E3"/>
    <w:rsid w:val="000A429C"/>
    <w:rsid w:val="000A42F1"/>
    <w:rsid w:val="000A63B1"/>
    <w:rsid w:val="000A6A7D"/>
    <w:rsid w:val="000B0455"/>
    <w:rsid w:val="000B0ECD"/>
    <w:rsid w:val="000B132D"/>
    <w:rsid w:val="000B29E0"/>
    <w:rsid w:val="000B2B22"/>
    <w:rsid w:val="000B2EDB"/>
    <w:rsid w:val="000B2EE2"/>
    <w:rsid w:val="000B5088"/>
    <w:rsid w:val="000B5C46"/>
    <w:rsid w:val="000B5D8E"/>
    <w:rsid w:val="000B77CC"/>
    <w:rsid w:val="000B7C0C"/>
    <w:rsid w:val="000B7F83"/>
    <w:rsid w:val="000C0406"/>
    <w:rsid w:val="000C0426"/>
    <w:rsid w:val="000C080D"/>
    <w:rsid w:val="000C0DEB"/>
    <w:rsid w:val="000C0EC6"/>
    <w:rsid w:val="000C0F2C"/>
    <w:rsid w:val="000C169E"/>
    <w:rsid w:val="000C20B9"/>
    <w:rsid w:val="000C213D"/>
    <w:rsid w:val="000C25DF"/>
    <w:rsid w:val="000C3505"/>
    <w:rsid w:val="000C3BA2"/>
    <w:rsid w:val="000C43F9"/>
    <w:rsid w:val="000C4684"/>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180"/>
    <w:rsid w:val="000D727C"/>
    <w:rsid w:val="000D7A35"/>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904"/>
    <w:rsid w:val="000E6FAE"/>
    <w:rsid w:val="000F04CD"/>
    <w:rsid w:val="000F0AA9"/>
    <w:rsid w:val="000F0FCE"/>
    <w:rsid w:val="000F1534"/>
    <w:rsid w:val="000F1894"/>
    <w:rsid w:val="000F28F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4F7"/>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25E"/>
    <w:rsid w:val="00117363"/>
    <w:rsid w:val="00117469"/>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002"/>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9CA"/>
    <w:rsid w:val="00160F54"/>
    <w:rsid w:val="0016115A"/>
    <w:rsid w:val="00161212"/>
    <w:rsid w:val="001612D1"/>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77F0B"/>
    <w:rsid w:val="001800ED"/>
    <w:rsid w:val="001801B1"/>
    <w:rsid w:val="00180B1D"/>
    <w:rsid w:val="001818F5"/>
    <w:rsid w:val="001824DC"/>
    <w:rsid w:val="0018284D"/>
    <w:rsid w:val="00182A33"/>
    <w:rsid w:val="00182CB9"/>
    <w:rsid w:val="00183510"/>
    <w:rsid w:val="00183631"/>
    <w:rsid w:val="00183D3B"/>
    <w:rsid w:val="0018517C"/>
    <w:rsid w:val="00185406"/>
    <w:rsid w:val="00185C08"/>
    <w:rsid w:val="00186108"/>
    <w:rsid w:val="00186A12"/>
    <w:rsid w:val="00186BC6"/>
    <w:rsid w:val="00186E7B"/>
    <w:rsid w:val="001906E8"/>
    <w:rsid w:val="00190995"/>
    <w:rsid w:val="00191450"/>
    <w:rsid w:val="0019169B"/>
    <w:rsid w:val="001926AE"/>
    <w:rsid w:val="0019278D"/>
    <w:rsid w:val="00193417"/>
    <w:rsid w:val="001938EF"/>
    <w:rsid w:val="00193A6E"/>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D1F"/>
    <w:rsid w:val="001D1F9C"/>
    <w:rsid w:val="001D2EA8"/>
    <w:rsid w:val="001D40F2"/>
    <w:rsid w:val="001D45D5"/>
    <w:rsid w:val="001D49AD"/>
    <w:rsid w:val="001D4FCF"/>
    <w:rsid w:val="001D580C"/>
    <w:rsid w:val="001D6C2E"/>
    <w:rsid w:val="001D7430"/>
    <w:rsid w:val="001D75ED"/>
    <w:rsid w:val="001D7B02"/>
    <w:rsid w:val="001E074D"/>
    <w:rsid w:val="001E0FFF"/>
    <w:rsid w:val="001E1749"/>
    <w:rsid w:val="001E18A5"/>
    <w:rsid w:val="001E350E"/>
    <w:rsid w:val="001E3865"/>
    <w:rsid w:val="001E3CD4"/>
    <w:rsid w:val="001E3F28"/>
    <w:rsid w:val="001E4543"/>
    <w:rsid w:val="001E4F14"/>
    <w:rsid w:val="001E5E16"/>
    <w:rsid w:val="001E6489"/>
    <w:rsid w:val="001E6521"/>
    <w:rsid w:val="001E65EC"/>
    <w:rsid w:val="001E6908"/>
    <w:rsid w:val="001E6C0B"/>
    <w:rsid w:val="001E6CA5"/>
    <w:rsid w:val="001E6D07"/>
    <w:rsid w:val="001E783E"/>
    <w:rsid w:val="001E7A1E"/>
    <w:rsid w:val="001E7D31"/>
    <w:rsid w:val="001E7FA2"/>
    <w:rsid w:val="001F015F"/>
    <w:rsid w:val="001F0782"/>
    <w:rsid w:val="001F0ECB"/>
    <w:rsid w:val="001F1A83"/>
    <w:rsid w:val="001F29FE"/>
    <w:rsid w:val="001F2EC6"/>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5F4"/>
    <w:rsid w:val="00220892"/>
    <w:rsid w:val="002208C7"/>
    <w:rsid w:val="00221759"/>
    <w:rsid w:val="00222101"/>
    <w:rsid w:val="00222EA5"/>
    <w:rsid w:val="002230F7"/>
    <w:rsid w:val="00223C3B"/>
    <w:rsid w:val="00224538"/>
    <w:rsid w:val="00224DCF"/>
    <w:rsid w:val="00224E58"/>
    <w:rsid w:val="00225185"/>
    <w:rsid w:val="002252B4"/>
    <w:rsid w:val="00225716"/>
    <w:rsid w:val="00225A03"/>
    <w:rsid w:val="002260E9"/>
    <w:rsid w:val="002265F5"/>
    <w:rsid w:val="0022699C"/>
    <w:rsid w:val="00226CA1"/>
    <w:rsid w:val="00227453"/>
    <w:rsid w:val="0022787B"/>
    <w:rsid w:val="00227A33"/>
    <w:rsid w:val="00227A4E"/>
    <w:rsid w:val="00230CEA"/>
    <w:rsid w:val="002311E9"/>
    <w:rsid w:val="00231A6F"/>
    <w:rsid w:val="00232336"/>
    <w:rsid w:val="002323A9"/>
    <w:rsid w:val="002326B4"/>
    <w:rsid w:val="0023281F"/>
    <w:rsid w:val="002332A7"/>
    <w:rsid w:val="00233C69"/>
    <w:rsid w:val="0023412D"/>
    <w:rsid w:val="00234440"/>
    <w:rsid w:val="00234E9F"/>
    <w:rsid w:val="00235545"/>
    <w:rsid w:val="00236307"/>
    <w:rsid w:val="0023685C"/>
    <w:rsid w:val="0024094A"/>
    <w:rsid w:val="00240A6A"/>
    <w:rsid w:val="00241551"/>
    <w:rsid w:val="00241E48"/>
    <w:rsid w:val="00241EED"/>
    <w:rsid w:val="00243682"/>
    <w:rsid w:val="00243E93"/>
    <w:rsid w:val="00243ED6"/>
    <w:rsid w:val="002443EF"/>
    <w:rsid w:val="00244D36"/>
    <w:rsid w:val="002450C7"/>
    <w:rsid w:val="002456E4"/>
    <w:rsid w:val="0024629E"/>
    <w:rsid w:val="00246FFE"/>
    <w:rsid w:val="002474BB"/>
    <w:rsid w:val="002479DD"/>
    <w:rsid w:val="00247CD6"/>
    <w:rsid w:val="002519C5"/>
    <w:rsid w:val="00252C52"/>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B1A"/>
    <w:rsid w:val="00264DE6"/>
    <w:rsid w:val="00264EEA"/>
    <w:rsid w:val="002653EC"/>
    <w:rsid w:val="00265891"/>
    <w:rsid w:val="002661E1"/>
    <w:rsid w:val="0026675C"/>
    <w:rsid w:val="0026699D"/>
    <w:rsid w:val="00266EB1"/>
    <w:rsid w:val="00267D8B"/>
    <w:rsid w:val="0027010E"/>
    <w:rsid w:val="00270783"/>
    <w:rsid w:val="00270854"/>
    <w:rsid w:val="00270FC5"/>
    <w:rsid w:val="002714EE"/>
    <w:rsid w:val="00272359"/>
    <w:rsid w:val="00272B18"/>
    <w:rsid w:val="002730B6"/>
    <w:rsid w:val="0027344F"/>
    <w:rsid w:val="00273690"/>
    <w:rsid w:val="00273AEF"/>
    <w:rsid w:val="002740E0"/>
    <w:rsid w:val="00276014"/>
    <w:rsid w:val="00276AD5"/>
    <w:rsid w:val="00276AFC"/>
    <w:rsid w:val="00277607"/>
    <w:rsid w:val="00277809"/>
    <w:rsid w:val="002800A9"/>
    <w:rsid w:val="0028041A"/>
    <w:rsid w:val="00281149"/>
    <w:rsid w:val="00282A0D"/>
    <w:rsid w:val="002836DA"/>
    <w:rsid w:val="00283834"/>
    <w:rsid w:val="0028427E"/>
    <w:rsid w:val="00286E8D"/>
    <w:rsid w:val="002870BD"/>
    <w:rsid w:val="002900B2"/>
    <w:rsid w:val="00290653"/>
    <w:rsid w:val="002911CD"/>
    <w:rsid w:val="002911D9"/>
    <w:rsid w:val="00291EEE"/>
    <w:rsid w:val="0029264F"/>
    <w:rsid w:val="002928FA"/>
    <w:rsid w:val="00292D36"/>
    <w:rsid w:val="0029431D"/>
    <w:rsid w:val="002946F7"/>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1C4E"/>
    <w:rsid w:val="002B285E"/>
    <w:rsid w:val="002B33EB"/>
    <w:rsid w:val="002B38BE"/>
    <w:rsid w:val="002B42A3"/>
    <w:rsid w:val="002B45BA"/>
    <w:rsid w:val="002B4B1F"/>
    <w:rsid w:val="002B4B66"/>
    <w:rsid w:val="002B4F0C"/>
    <w:rsid w:val="002B5877"/>
    <w:rsid w:val="002B6225"/>
    <w:rsid w:val="002B650E"/>
    <w:rsid w:val="002B6C9B"/>
    <w:rsid w:val="002B7489"/>
    <w:rsid w:val="002B75C6"/>
    <w:rsid w:val="002B7B17"/>
    <w:rsid w:val="002B7EDA"/>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56F"/>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D7DFB"/>
    <w:rsid w:val="002E08C8"/>
    <w:rsid w:val="002E0A6B"/>
    <w:rsid w:val="002E0E14"/>
    <w:rsid w:val="002E1B44"/>
    <w:rsid w:val="002E1DF3"/>
    <w:rsid w:val="002E255E"/>
    <w:rsid w:val="002E26A2"/>
    <w:rsid w:val="002E3542"/>
    <w:rsid w:val="002E38EB"/>
    <w:rsid w:val="002E3C40"/>
    <w:rsid w:val="002E3CAD"/>
    <w:rsid w:val="002E4370"/>
    <w:rsid w:val="002E4536"/>
    <w:rsid w:val="002E48E7"/>
    <w:rsid w:val="002E5491"/>
    <w:rsid w:val="002E5A32"/>
    <w:rsid w:val="002E5C79"/>
    <w:rsid w:val="002E6CEA"/>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BEA"/>
    <w:rsid w:val="002F7F34"/>
    <w:rsid w:val="003004CF"/>
    <w:rsid w:val="0030088F"/>
    <w:rsid w:val="00300CB7"/>
    <w:rsid w:val="00300D60"/>
    <w:rsid w:val="003015FC"/>
    <w:rsid w:val="00301CF2"/>
    <w:rsid w:val="00302DC2"/>
    <w:rsid w:val="00302DD6"/>
    <w:rsid w:val="00302FE1"/>
    <w:rsid w:val="00303320"/>
    <w:rsid w:val="003036B7"/>
    <w:rsid w:val="00304F5D"/>
    <w:rsid w:val="00305562"/>
    <w:rsid w:val="00305889"/>
    <w:rsid w:val="003059E0"/>
    <w:rsid w:val="00305F52"/>
    <w:rsid w:val="00306086"/>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4C4"/>
    <w:rsid w:val="00323BFE"/>
    <w:rsid w:val="00323F81"/>
    <w:rsid w:val="003244E9"/>
    <w:rsid w:val="00324E91"/>
    <w:rsid w:val="00325E1A"/>
    <w:rsid w:val="003260D3"/>
    <w:rsid w:val="003268B5"/>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3A9"/>
    <w:rsid w:val="00335BAF"/>
    <w:rsid w:val="00337700"/>
    <w:rsid w:val="00341432"/>
    <w:rsid w:val="003434AB"/>
    <w:rsid w:val="0034365C"/>
    <w:rsid w:val="00343B9A"/>
    <w:rsid w:val="0034428A"/>
    <w:rsid w:val="003444CF"/>
    <w:rsid w:val="003449DA"/>
    <w:rsid w:val="003454F3"/>
    <w:rsid w:val="003465E0"/>
    <w:rsid w:val="003467D9"/>
    <w:rsid w:val="00346872"/>
    <w:rsid w:val="00346CAD"/>
    <w:rsid w:val="00346D6D"/>
    <w:rsid w:val="00347AA1"/>
    <w:rsid w:val="00347F3B"/>
    <w:rsid w:val="00350933"/>
    <w:rsid w:val="00350979"/>
    <w:rsid w:val="00350A2C"/>
    <w:rsid w:val="00351A25"/>
    <w:rsid w:val="00352026"/>
    <w:rsid w:val="00352AE6"/>
    <w:rsid w:val="0035559F"/>
    <w:rsid w:val="00355EA6"/>
    <w:rsid w:val="00355FD5"/>
    <w:rsid w:val="00356B37"/>
    <w:rsid w:val="00356E4B"/>
    <w:rsid w:val="00357063"/>
    <w:rsid w:val="003570E9"/>
    <w:rsid w:val="00357929"/>
    <w:rsid w:val="00357B9D"/>
    <w:rsid w:val="00357D4A"/>
    <w:rsid w:val="00357E98"/>
    <w:rsid w:val="00360BD9"/>
    <w:rsid w:val="00360C10"/>
    <w:rsid w:val="00361305"/>
    <w:rsid w:val="003623EA"/>
    <w:rsid w:val="00363CFD"/>
    <w:rsid w:val="00363D20"/>
    <w:rsid w:val="00363E17"/>
    <w:rsid w:val="003641C1"/>
    <w:rsid w:val="00364B7B"/>
    <w:rsid w:val="00365388"/>
    <w:rsid w:val="003667D3"/>
    <w:rsid w:val="00366B69"/>
    <w:rsid w:val="00366C5A"/>
    <w:rsid w:val="00366F4E"/>
    <w:rsid w:val="00367BA7"/>
    <w:rsid w:val="0037014D"/>
    <w:rsid w:val="003708CC"/>
    <w:rsid w:val="00370B4A"/>
    <w:rsid w:val="00370BE8"/>
    <w:rsid w:val="00370E77"/>
    <w:rsid w:val="00371485"/>
    <w:rsid w:val="00371766"/>
    <w:rsid w:val="003719CD"/>
    <w:rsid w:val="00371BD2"/>
    <w:rsid w:val="00372273"/>
    <w:rsid w:val="0037234B"/>
    <w:rsid w:val="00372566"/>
    <w:rsid w:val="0037295F"/>
    <w:rsid w:val="0037317B"/>
    <w:rsid w:val="0037340D"/>
    <w:rsid w:val="00373439"/>
    <w:rsid w:val="003734DF"/>
    <w:rsid w:val="0037431A"/>
    <w:rsid w:val="003746CD"/>
    <w:rsid w:val="00375343"/>
    <w:rsid w:val="00375529"/>
    <w:rsid w:val="00375A80"/>
    <w:rsid w:val="00375CC9"/>
    <w:rsid w:val="00375D1B"/>
    <w:rsid w:val="00376982"/>
    <w:rsid w:val="00376CA3"/>
    <w:rsid w:val="00376F17"/>
    <w:rsid w:val="003804A9"/>
    <w:rsid w:val="00380537"/>
    <w:rsid w:val="00380B63"/>
    <w:rsid w:val="00380DFA"/>
    <w:rsid w:val="00381A7A"/>
    <w:rsid w:val="003824F1"/>
    <w:rsid w:val="003827BD"/>
    <w:rsid w:val="003829A5"/>
    <w:rsid w:val="00382E70"/>
    <w:rsid w:val="00382EEE"/>
    <w:rsid w:val="0038449B"/>
    <w:rsid w:val="00385164"/>
    <w:rsid w:val="003852C6"/>
    <w:rsid w:val="003859E9"/>
    <w:rsid w:val="00386389"/>
    <w:rsid w:val="003863CF"/>
    <w:rsid w:val="00386660"/>
    <w:rsid w:val="003903C7"/>
    <w:rsid w:val="003903E7"/>
    <w:rsid w:val="003908B9"/>
    <w:rsid w:val="00390AD3"/>
    <w:rsid w:val="0039101D"/>
    <w:rsid w:val="00391319"/>
    <w:rsid w:val="0039185B"/>
    <w:rsid w:val="00391A8C"/>
    <w:rsid w:val="00391E96"/>
    <w:rsid w:val="003926A6"/>
    <w:rsid w:val="0039316F"/>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57"/>
    <w:rsid w:val="003A41F5"/>
    <w:rsid w:val="003A46B8"/>
    <w:rsid w:val="003A4754"/>
    <w:rsid w:val="003A4ACD"/>
    <w:rsid w:val="003A4E03"/>
    <w:rsid w:val="003A5DF7"/>
    <w:rsid w:val="003A5EF2"/>
    <w:rsid w:val="003A6679"/>
    <w:rsid w:val="003A6A49"/>
    <w:rsid w:val="003A6D47"/>
    <w:rsid w:val="003B01CF"/>
    <w:rsid w:val="003B041E"/>
    <w:rsid w:val="003B0CDD"/>
    <w:rsid w:val="003B1AAD"/>
    <w:rsid w:val="003B2154"/>
    <w:rsid w:val="003B3318"/>
    <w:rsid w:val="003B56C8"/>
    <w:rsid w:val="003B58C8"/>
    <w:rsid w:val="003B5D8B"/>
    <w:rsid w:val="003B6ADF"/>
    <w:rsid w:val="003B7669"/>
    <w:rsid w:val="003B77DA"/>
    <w:rsid w:val="003B7BD4"/>
    <w:rsid w:val="003C0368"/>
    <w:rsid w:val="003C05F4"/>
    <w:rsid w:val="003C0B14"/>
    <w:rsid w:val="003C0CEC"/>
    <w:rsid w:val="003C0FF1"/>
    <w:rsid w:val="003C3770"/>
    <w:rsid w:val="003C40C7"/>
    <w:rsid w:val="003C4A6B"/>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7DE"/>
    <w:rsid w:val="003E2E49"/>
    <w:rsid w:val="003E2F77"/>
    <w:rsid w:val="003E3913"/>
    <w:rsid w:val="003E435B"/>
    <w:rsid w:val="003E48B0"/>
    <w:rsid w:val="003E496C"/>
    <w:rsid w:val="003E5609"/>
    <w:rsid w:val="003E5ECD"/>
    <w:rsid w:val="003E63DD"/>
    <w:rsid w:val="003E69A8"/>
    <w:rsid w:val="003E7060"/>
    <w:rsid w:val="003E736B"/>
    <w:rsid w:val="003F003A"/>
    <w:rsid w:val="003F0344"/>
    <w:rsid w:val="003F12D0"/>
    <w:rsid w:val="003F1A35"/>
    <w:rsid w:val="003F2302"/>
    <w:rsid w:val="003F4519"/>
    <w:rsid w:val="003F453B"/>
    <w:rsid w:val="003F4816"/>
    <w:rsid w:val="003F49B8"/>
    <w:rsid w:val="003F4D47"/>
    <w:rsid w:val="003F563C"/>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ED1"/>
    <w:rsid w:val="00415FEA"/>
    <w:rsid w:val="004174BF"/>
    <w:rsid w:val="00417A74"/>
    <w:rsid w:val="00417B0E"/>
    <w:rsid w:val="00417EBC"/>
    <w:rsid w:val="00420400"/>
    <w:rsid w:val="004212FB"/>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BCA"/>
    <w:rsid w:val="004314DB"/>
    <w:rsid w:val="00432268"/>
    <w:rsid w:val="00432486"/>
    <w:rsid w:val="00432D94"/>
    <w:rsid w:val="004332A6"/>
    <w:rsid w:val="004335E3"/>
    <w:rsid w:val="00433AFA"/>
    <w:rsid w:val="0043479D"/>
    <w:rsid w:val="004349CD"/>
    <w:rsid w:val="004351CD"/>
    <w:rsid w:val="004353D2"/>
    <w:rsid w:val="00435574"/>
    <w:rsid w:val="00436C58"/>
    <w:rsid w:val="0043781B"/>
    <w:rsid w:val="00437EB0"/>
    <w:rsid w:val="00440E83"/>
    <w:rsid w:val="00441341"/>
    <w:rsid w:val="0044159F"/>
    <w:rsid w:val="00441695"/>
    <w:rsid w:val="004419A7"/>
    <w:rsid w:val="00441C58"/>
    <w:rsid w:val="00442181"/>
    <w:rsid w:val="00443057"/>
    <w:rsid w:val="004434BD"/>
    <w:rsid w:val="00443751"/>
    <w:rsid w:val="00443F8E"/>
    <w:rsid w:val="00443F99"/>
    <w:rsid w:val="0044436C"/>
    <w:rsid w:val="00444CAF"/>
    <w:rsid w:val="0044602A"/>
    <w:rsid w:val="0044612C"/>
    <w:rsid w:val="004465E5"/>
    <w:rsid w:val="00446DDE"/>
    <w:rsid w:val="00447075"/>
    <w:rsid w:val="004473A6"/>
    <w:rsid w:val="00447E14"/>
    <w:rsid w:val="0045063D"/>
    <w:rsid w:val="00450A4D"/>
    <w:rsid w:val="00451477"/>
    <w:rsid w:val="004519AA"/>
    <w:rsid w:val="00451ACD"/>
    <w:rsid w:val="00451BB9"/>
    <w:rsid w:val="00451EAE"/>
    <w:rsid w:val="004529D6"/>
    <w:rsid w:val="0045401D"/>
    <w:rsid w:val="00454159"/>
    <w:rsid w:val="0045452E"/>
    <w:rsid w:val="00454ED4"/>
    <w:rsid w:val="00454F80"/>
    <w:rsid w:val="0045504A"/>
    <w:rsid w:val="004555D6"/>
    <w:rsid w:val="00457840"/>
    <w:rsid w:val="00460B0C"/>
    <w:rsid w:val="00461021"/>
    <w:rsid w:val="00461375"/>
    <w:rsid w:val="0046175B"/>
    <w:rsid w:val="00461D62"/>
    <w:rsid w:val="00462927"/>
    <w:rsid w:val="00462955"/>
    <w:rsid w:val="00462987"/>
    <w:rsid w:val="004647B1"/>
    <w:rsid w:val="00464BAE"/>
    <w:rsid w:val="00464F6F"/>
    <w:rsid w:val="004656A9"/>
    <w:rsid w:val="004659BA"/>
    <w:rsid w:val="00465B13"/>
    <w:rsid w:val="00465D9A"/>
    <w:rsid w:val="004669C7"/>
    <w:rsid w:val="00466F00"/>
    <w:rsid w:val="00466FE2"/>
    <w:rsid w:val="00467619"/>
    <w:rsid w:val="00467807"/>
    <w:rsid w:val="00467B94"/>
    <w:rsid w:val="004707BB"/>
    <w:rsid w:val="00471F8A"/>
    <w:rsid w:val="00472B0E"/>
    <w:rsid w:val="00472C57"/>
    <w:rsid w:val="00473188"/>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02"/>
    <w:rsid w:val="00485C17"/>
    <w:rsid w:val="00485CDC"/>
    <w:rsid w:val="00486476"/>
    <w:rsid w:val="00486687"/>
    <w:rsid w:val="004866FE"/>
    <w:rsid w:val="00486C14"/>
    <w:rsid w:val="004872B0"/>
    <w:rsid w:val="00487607"/>
    <w:rsid w:val="0049008E"/>
    <w:rsid w:val="004901B1"/>
    <w:rsid w:val="00490453"/>
    <w:rsid w:val="004904FE"/>
    <w:rsid w:val="0049062E"/>
    <w:rsid w:val="004910C8"/>
    <w:rsid w:val="004919C4"/>
    <w:rsid w:val="00491D27"/>
    <w:rsid w:val="0049204F"/>
    <w:rsid w:val="0049205D"/>
    <w:rsid w:val="00492D70"/>
    <w:rsid w:val="0049332F"/>
    <w:rsid w:val="0049430B"/>
    <w:rsid w:val="004945BE"/>
    <w:rsid w:val="00495AD8"/>
    <w:rsid w:val="00495B3E"/>
    <w:rsid w:val="00495C87"/>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A7B29"/>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A06"/>
    <w:rsid w:val="004C1DA7"/>
    <w:rsid w:val="004C25EB"/>
    <w:rsid w:val="004C2995"/>
    <w:rsid w:val="004C2F78"/>
    <w:rsid w:val="004C33C2"/>
    <w:rsid w:val="004C3522"/>
    <w:rsid w:val="004C4037"/>
    <w:rsid w:val="004C43D7"/>
    <w:rsid w:val="004C4BF3"/>
    <w:rsid w:val="004C4C7A"/>
    <w:rsid w:val="004C51CD"/>
    <w:rsid w:val="004C5CC7"/>
    <w:rsid w:val="004C5DC4"/>
    <w:rsid w:val="004C6562"/>
    <w:rsid w:val="004C6670"/>
    <w:rsid w:val="004C6999"/>
    <w:rsid w:val="004C69A0"/>
    <w:rsid w:val="004C76EF"/>
    <w:rsid w:val="004C785A"/>
    <w:rsid w:val="004D0753"/>
    <w:rsid w:val="004D0E14"/>
    <w:rsid w:val="004D152D"/>
    <w:rsid w:val="004D1D9B"/>
    <w:rsid w:val="004D2299"/>
    <w:rsid w:val="004D26C5"/>
    <w:rsid w:val="004D2785"/>
    <w:rsid w:val="004D2D51"/>
    <w:rsid w:val="004D3152"/>
    <w:rsid w:val="004D32FB"/>
    <w:rsid w:val="004D369A"/>
    <w:rsid w:val="004D374B"/>
    <w:rsid w:val="004D39E3"/>
    <w:rsid w:val="004D3E32"/>
    <w:rsid w:val="004D3F3E"/>
    <w:rsid w:val="004D429A"/>
    <w:rsid w:val="004D4D5D"/>
    <w:rsid w:val="004D5075"/>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B7"/>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16A"/>
    <w:rsid w:val="00505339"/>
    <w:rsid w:val="00505587"/>
    <w:rsid w:val="00505C1E"/>
    <w:rsid w:val="00505DBA"/>
    <w:rsid w:val="00506364"/>
    <w:rsid w:val="005067B7"/>
    <w:rsid w:val="005069A0"/>
    <w:rsid w:val="00507558"/>
    <w:rsid w:val="00507C0F"/>
    <w:rsid w:val="00510232"/>
    <w:rsid w:val="005109E1"/>
    <w:rsid w:val="00511432"/>
    <w:rsid w:val="005115CD"/>
    <w:rsid w:val="00511908"/>
    <w:rsid w:val="00512AAA"/>
    <w:rsid w:val="00513386"/>
    <w:rsid w:val="00513B88"/>
    <w:rsid w:val="00514E07"/>
    <w:rsid w:val="00515226"/>
    <w:rsid w:val="00515ACA"/>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27C55"/>
    <w:rsid w:val="00530449"/>
    <w:rsid w:val="0053047E"/>
    <w:rsid w:val="0053072F"/>
    <w:rsid w:val="005311E0"/>
    <w:rsid w:val="00531822"/>
    <w:rsid w:val="00531DD1"/>
    <w:rsid w:val="00532032"/>
    <w:rsid w:val="005321D8"/>
    <w:rsid w:val="005325B8"/>
    <w:rsid w:val="0053313C"/>
    <w:rsid w:val="005333A6"/>
    <w:rsid w:val="00533645"/>
    <w:rsid w:val="005343FE"/>
    <w:rsid w:val="0053460C"/>
    <w:rsid w:val="00534C96"/>
    <w:rsid w:val="00535C7E"/>
    <w:rsid w:val="00536BC4"/>
    <w:rsid w:val="00536E9E"/>
    <w:rsid w:val="005372F5"/>
    <w:rsid w:val="00537679"/>
    <w:rsid w:val="005402C3"/>
    <w:rsid w:val="00540591"/>
    <w:rsid w:val="00541194"/>
    <w:rsid w:val="00541FF4"/>
    <w:rsid w:val="005423C2"/>
    <w:rsid w:val="005430EA"/>
    <w:rsid w:val="00543825"/>
    <w:rsid w:val="00543F5D"/>
    <w:rsid w:val="0054412E"/>
    <w:rsid w:val="005449B5"/>
    <w:rsid w:val="00544E2B"/>
    <w:rsid w:val="00544F99"/>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BF"/>
    <w:rsid w:val="005530D6"/>
    <w:rsid w:val="00553505"/>
    <w:rsid w:val="0055596E"/>
    <w:rsid w:val="00555EE2"/>
    <w:rsid w:val="00556087"/>
    <w:rsid w:val="005564ED"/>
    <w:rsid w:val="00556626"/>
    <w:rsid w:val="005568E9"/>
    <w:rsid w:val="00557266"/>
    <w:rsid w:val="00557651"/>
    <w:rsid w:val="00560084"/>
    <w:rsid w:val="00560402"/>
    <w:rsid w:val="005604A0"/>
    <w:rsid w:val="0056192B"/>
    <w:rsid w:val="00561C89"/>
    <w:rsid w:val="00562209"/>
    <w:rsid w:val="0056223F"/>
    <w:rsid w:val="00563463"/>
    <w:rsid w:val="00563D7C"/>
    <w:rsid w:val="005640F2"/>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5972"/>
    <w:rsid w:val="005763E8"/>
    <w:rsid w:val="00577346"/>
    <w:rsid w:val="0057749F"/>
    <w:rsid w:val="00577577"/>
    <w:rsid w:val="0057799A"/>
    <w:rsid w:val="00580534"/>
    <w:rsid w:val="00580BB5"/>
    <w:rsid w:val="00580CEE"/>
    <w:rsid w:val="00580CF1"/>
    <w:rsid w:val="00581A2D"/>
    <w:rsid w:val="0058252C"/>
    <w:rsid w:val="005829C0"/>
    <w:rsid w:val="00582DAE"/>
    <w:rsid w:val="00582E60"/>
    <w:rsid w:val="00582E6D"/>
    <w:rsid w:val="00583062"/>
    <w:rsid w:val="005830F9"/>
    <w:rsid w:val="00584554"/>
    <w:rsid w:val="00584B40"/>
    <w:rsid w:val="00585BE7"/>
    <w:rsid w:val="00586471"/>
    <w:rsid w:val="005870CE"/>
    <w:rsid w:val="0058715C"/>
    <w:rsid w:val="00587406"/>
    <w:rsid w:val="00587945"/>
    <w:rsid w:val="00587B8B"/>
    <w:rsid w:val="00590785"/>
    <w:rsid w:val="00592664"/>
    <w:rsid w:val="00592673"/>
    <w:rsid w:val="005943AA"/>
    <w:rsid w:val="005949F9"/>
    <w:rsid w:val="00595260"/>
    <w:rsid w:val="005967FF"/>
    <w:rsid w:val="0059791B"/>
    <w:rsid w:val="005A00F8"/>
    <w:rsid w:val="005A02EA"/>
    <w:rsid w:val="005A0552"/>
    <w:rsid w:val="005A0B4E"/>
    <w:rsid w:val="005A0EDA"/>
    <w:rsid w:val="005A161E"/>
    <w:rsid w:val="005A24F8"/>
    <w:rsid w:val="005A2A6F"/>
    <w:rsid w:val="005A2CA9"/>
    <w:rsid w:val="005A2F50"/>
    <w:rsid w:val="005A31B3"/>
    <w:rsid w:val="005A37BC"/>
    <w:rsid w:val="005A48AC"/>
    <w:rsid w:val="005A4C0B"/>
    <w:rsid w:val="005A4D01"/>
    <w:rsid w:val="005A5176"/>
    <w:rsid w:val="005A5232"/>
    <w:rsid w:val="005A5AE0"/>
    <w:rsid w:val="005A5DC4"/>
    <w:rsid w:val="005A6095"/>
    <w:rsid w:val="005A67A2"/>
    <w:rsid w:val="005A77CE"/>
    <w:rsid w:val="005A7C29"/>
    <w:rsid w:val="005A7C38"/>
    <w:rsid w:val="005A7C9D"/>
    <w:rsid w:val="005B0057"/>
    <w:rsid w:val="005B01A9"/>
    <w:rsid w:val="005B01F5"/>
    <w:rsid w:val="005B0889"/>
    <w:rsid w:val="005B08E5"/>
    <w:rsid w:val="005B185B"/>
    <w:rsid w:val="005B193C"/>
    <w:rsid w:val="005B28E8"/>
    <w:rsid w:val="005B2BB0"/>
    <w:rsid w:val="005B403E"/>
    <w:rsid w:val="005B4B3B"/>
    <w:rsid w:val="005B5481"/>
    <w:rsid w:val="005B6402"/>
    <w:rsid w:val="005B6DDC"/>
    <w:rsid w:val="005B734C"/>
    <w:rsid w:val="005C06F5"/>
    <w:rsid w:val="005C17EE"/>
    <w:rsid w:val="005C17F3"/>
    <w:rsid w:val="005C1E64"/>
    <w:rsid w:val="005C1EA4"/>
    <w:rsid w:val="005C1EE1"/>
    <w:rsid w:val="005C3706"/>
    <w:rsid w:val="005C407E"/>
    <w:rsid w:val="005C4375"/>
    <w:rsid w:val="005C54A7"/>
    <w:rsid w:val="005C57AA"/>
    <w:rsid w:val="005C6118"/>
    <w:rsid w:val="005C6189"/>
    <w:rsid w:val="005C6256"/>
    <w:rsid w:val="005C630D"/>
    <w:rsid w:val="005C6514"/>
    <w:rsid w:val="005C6E34"/>
    <w:rsid w:val="005C7518"/>
    <w:rsid w:val="005D0D76"/>
    <w:rsid w:val="005D10B5"/>
    <w:rsid w:val="005D1B35"/>
    <w:rsid w:val="005D2023"/>
    <w:rsid w:val="005D2458"/>
    <w:rsid w:val="005D3132"/>
    <w:rsid w:val="005D3454"/>
    <w:rsid w:val="005D3843"/>
    <w:rsid w:val="005D3E0F"/>
    <w:rsid w:val="005D4523"/>
    <w:rsid w:val="005D5EF1"/>
    <w:rsid w:val="005D5F41"/>
    <w:rsid w:val="005D691F"/>
    <w:rsid w:val="005D74BB"/>
    <w:rsid w:val="005D77AB"/>
    <w:rsid w:val="005D78E7"/>
    <w:rsid w:val="005E00BF"/>
    <w:rsid w:val="005E0490"/>
    <w:rsid w:val="005E157B"/>
    <w:rsid w:val="005E33FB"/>
    <w:rsid w:val="005E431F"/>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0"/>
    <w:rsid w:val="006009F1"/>
    <w:rsid w:val="00600DB4"/>
    <w:rsid w:val="00601054"/>
    <w:rsid w:val="006013AE"/>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079D7"/>
    <w:rsid w:val="0061146B"/>
    <w:rsid w:val="00612200"/>
    <w:rsid w:val="00612212"/>
    <w:rsid w:val="0061286A"/>
    <w:rsid w:val="00612D62"/>
    <w:rsid w:val="00613707"/>
    <w:rsid w:val="006138D8"/>
    <w:rsid w:val="0061426E"/>
    <w:rsid w:val="00614445"/>
    <w:rsid w:val="00614454"/>
    <w:rsid w:val="00614598"/>
    <w:rsid w:val="006147CD"/>
    <w:rsid w:val="00614D77"/>
    <w:rsid w:val="006153E5"/>
    <w:rsid w:val="00615825"/>
    <w:rsid w:val="00615A4D"/>
    <w:rsid w:val="00615BEF"/>
    <w:rsid w:val="00615CFA"/>
    <w:rsid w:val="006179F8"/>
    <w:rsid w:val="00617FC2"/>
    <w:rsid w:val="0062004F"/>
    <w:rsid w:val="00620C78"/>
    <w:rsid w:val="00620DA8"/>
    <w:rsid w:val="0062109A"/>
    <w:rsid w:val="006213A4"/>
    <w:rsid w:val="0062149B"/>
    <w:rsid w:val="0062201C"/>
    <w:rsid w:val="00622A5B"/>
    <w:rsid w:val="00623726"/>
    <w:rsid w:val="00623BDE"/>
    <w:rsid w:val="00623FDC"/>
    <w:rsid w:val="00624B21"/>
    <w:rsid w:val="0062537D"/>
    <w:rsid w:val="00625B5F"/>
    <w:rsid w:val="0063076F"/>
    <w:rsid w:val="0063086D"/>
    <w:rsid w:val="0063103A"/>
    <w:rsid w:val="00632180"/>
    <w:rsid w:val="00632428"/>
    <w:rsid w:val="006326D4"/>
    <w:rsid w:val="00632958"/>
    <w:rsid w:val="00632F0D"/>
    <w:rsid w:val="00633AC5"/>
    <w:rsid w:val="00634DAE"/>
    <w:rsid w:val="00636151"/>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0BE"/>
    <w:rsid w:val="006462E0"/>
    <w:rsid w:val="00646829"/>
    <w:rsid w:val="00647D1F"/>
    <w:rsid w:val="00647FB1"/>
    <w:rsid w:val="00650584"/>
    <w:rsid w:val="00650E96"/>
    <w:rsid w:val="00651579"/>
    <w:rsid w:val="006517BF"/>
    <w:rsid w:val="006519E2"/>
    <w:rsid w:val="00652515"/>
    <w:rsid w:val="006529C2"/>
    <w:rsid w:val="0065303E"/>
    <w:rsid w:val="0065375D"/>
    <w:rsid w:val="00653D1E"/>
    <w:rsid w:val="0065559A"/>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6CE"/>
    <w:rsid w:val="00683AFE"/>
    <w:rsid w:val="0068520A"/>
    <w:rsid w:val="006861F8"/>
    <w:rsid w:val="0068646D"/>
    <w:rsid w:val="006874BC"/>
    <w:rsid w:val="00687E0D"/>
    <w:rsid w:val="00687E86"/>
    <w:rsid w:val="0069052E"/>
    <w:rsid w:val="00690BA1"/>
    <w:rsid w:val="00690CD0"/>
    <w:rsid w:val="0069299F"/>
    <w:rsid w:val="00692BDF"/>
    <w:rsid w:val="00692C43"/>
    <w:rsid w:val="00692FEA"/>
    <w:rsid w:val="006933B3"/>
    <w:rsid w:val="0069351B"/>
    <w:rsid w:val="00693889"/>
    <w:rsid w:val="00693D4D"/>
    <w:rsid w:val="0069443D"/>
    <w:rsid w:val="00694E01"/>
    <w:rsid w:val="006950A6"/>
    <w:rsid w:val="00695A16"/>
    <w:rsid w:val="00695D9B"/>
    <w:rsid w:val="006962EE"/>
    <w:rsid w:val="00696FB1"/>
    <w:rsid w:val="00696FE3"/>
    <w:rsid w:val="006975D2"/>
    <w:rsid w:val="00697749"/>
    <w:rsid w:val="00697C15"/>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04EF"/>
    <w:rsid w:val="006B13BF"/>
    <w:rsid w:val="006B1718"/>
    <w:rsid w:val="006B1ABB"/>
    <w:rsid w:val="006B36CB"/>
    <w:rsid w:val="006B3A10"/>
    <w:rsid w:val="006B3FB6"/>
    <w:rsid w:val="006B42F1"/>
    <w:rsid w:val="006B47E1"/>
    <w:rsid w:val="006B5099"/>
    <w:rsid w:val="006B5B51"/>
    <w:rsid w:val="006B6520"/>
    <w:rsid w:val="006B66CE"/>
    <w:rsid w:val="006B6B26"/>
    <w:rsid w:val="006B6D89"/>
    <w:rsid w:val="006B7DE3"/>
    <w:rsid w:val="006B7F11"/>
    <w:rsid w:val="006C021A"/>
    <w:rsid w:val="006C09EA"/>
    <w:rsid w:val="006C0D20"/>
    <w:rsid w:val="006C12BC"/>
    <w:rsid w:val="006C1404"/>
    <w:rsid w:val="006C19CC"/>
    <w:rsid w:val="006C1BEC"/>
    <w:rsid w:val="006C21CB"/>
    <w:rsid w:val="006C2232"/>
    <w:rsid w:val="006C2610"/>
    <w:rsid w:val="006C2BEF"/>
    <w:rsid w:val="006C2BFC"/>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728"/>
    <w:rsid w:val="006D68F9"/>
    <w:rsid w:val="006D71C7"/>
    <w:rsid w:val="006D7756"/>
    <w:rsid w:val="006D77D7"/>
    <w:rsid w:val="006D7CA4"/>
    <w:rsid w:val="006E11FB"/>
    <w:rsid w:val="006E1741"/>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2A3A"/>
    <w:rsid w:val="006F3492"/>
    <w:rsid w:val="006F356D"/>
    <w:rsid w:val="006F35BF"/>
    <w:rsid w:val="006F3CC0"/>
    <w:rsid w:val="006F43AF"/>
    <w:rsid w:val="006F53BB"/>
    <w:rsid w:val="006F5A72"/>
    <w:rsid w:val="006F60BB"/>
    <w:rsid w:val="006F624F"/>
    <w:rsid w:val="006F6E90"/>
    <w:rsid w:val="006F6F89"/>
    <w:rsid w:val="006F7346"/>
    <w:rsid w:val="006F78ED"/>
    <w:rsid w:val="006F7D9D"/>
    <w:rsid w:val="007013B6"/>
    <w:rsid w:val="00701B01"/>
    <w:rsid w:val="00703F4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982"/>
    <w:rsid w:val="00734A4C"/>
    <w:rsid w:val="00734E6B"/>
    <w:rsid w:val="00734E75"/>
    <w:rsid w:val="007352C8"/>
    <w:rsid w:val="00735C16"/>
    <w:rsid w:val="00736031"/>
    <w:rsid w:val="007362CE"/>
    <w:rsid w:val="007363FF"/>
    <w:rsid w:val="00736CE3"/>
    <w:rsid w:val="0073732E"/>
    <w:rsid w:val="00737DB6"/>
    <w:rsid w:val="00737DD2"/>
    <w:rsid w:val="00740662"/>
    <w:rsid w:val="00740736"/>
    <w:rsid w:val="00740EBD"/>
    <w:rsid w:val="00741636"/>
    <w:rsid w:val="00741E51"/>
    <w:rsid w:val="00741EDA"/>
    <w:rsid w:val="007423CF"/>
    <w:rsid w:val="00742721"/>
    <w:rsid w:val="00742949"/>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3FBF"/>
    <w:rsid w:val="00754552"/>
    <w:rsid w:val="007558D5"/>
    <w:rsid w:val="00755987"/>
    <w:rsid w:val="00755B8A"/>
    <w:rsid w:val="00755E08"/>
    <w:rsid w:val="0075620F"/>
    <w:rsid w:val="007566CA"/>
    <w:rsid w:val="00756EBF"/>
    <w:rsid w:val="00756F69"/>
    <w:rsid w:val="007572FF"/>
    <w:rsid w:val="007579CC"/>
    <w:rsid w:val="00760460"/>
    <w:rsid w:val="007604F5"/>
    <w:rsid w:val="00760D3C"/>
    <w:rsid w:val="007617F0"/>
    <w:rsid w:val="00761979"/>
    <w:rsid w:val="00761A9C"/>
    <w:rsid w:val="00761B14"/>
    <w:rsid w:val="00761C52"/>
    <w:rsid w:val="00761C56"/>
    <w:rsid w:val="00761C7A"/>
    <w:rsid w:val="00761DAD"/>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89"/>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46CC"/>
    <w:rsid w:val="007859F9"/>
    <w:rsid w:val="007868EB"/>
    <w:rsid w:val="00786980"/>
    <w:rsid w:val="0078704D"/>
    <w:rsid w:val="0078772A"/>
    <w:rsid w:val="00787DFF"/>
    <w:rsid w:val="00791D0F"/>
    <w:rsid w:val="00793A2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9DD"/>
    <w:rsid w:val="00797C1E"/>
    <w:rsid w:val="007A047E"/>
    <w:rsid w:val="007A0FE1"/>
    <w:rsid w:val="007A1028"/>
    <w:rsid w:val="007A11EC"/>
    <w:rsid w:val="007A13E5"/>
    <w:rsid w:val="007A160B"/>
    <w:rsid w:val="007A184E"/>
    <w:rsid w:val="007A2888"/>
    <w:rsid w:val="007A310B"/>
    <w:rsid w:val="007A39E4"/>
    <w:rsid w:val="007A42CB"/>
    <w:rsid w:val="007A4372"/>
    <w:rsid w:val="007A44AD"/>
    <w:rsid w:val="007A457F"/>
    <w:rsid w:val="007A46A2"/>
    <w:rsid w:val="007A4802"/>
    <w:rsid w:val="007A4BFF"/>
    <w:rsid w:val="007A4E2E"/>
    <w:rsid w:val="007A5010"/>
    <w:rsid w:val="007A50A6"/>
    <w:rsid w:val="007A53BD"/>
    <w:rsid w:val="007A6063"/>
    <w:rsid w:val="007A6531"/>
    <w:rsid w:val="007A691D"/>
    <w:rsid w:val="007A6F6B"/>
    <w:rsid w:val="007A79D4"/>
    <w:rsid w:val="007A7B92"/>
    <w:rsid w:val="007A7CB5"/>
    <w:rsid w:val="007B0AFD"/>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452"/>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4209"/>
    <w:rsid w:val="007D4829"/>
    <w:rsid w:val="007D4CDF"/>
    <w:rsid w:val="007D4D79"/>
    <w:rsid w:val="007D53A1"/>
    <w:rsid w:val="007D5792"/>
    <w:rsid w:val="007D6047"/>
    <w:rsid w:val="007D63BF"/>
    <w:rsid w:val="007D6525"/>
    <w:rsid w:val="007D66E3"/>
    <w:rsid w:val="007D6A22"/>
    <w:rsid w:val="007D712D"/>
    <w:rsid w:val="007D781D"/>
    <w:rsid w:val="007D7C3A"/>
    <w:rsid w:val="007E0242"/>
    <w:rsid w:val="007E0275"/>
    <w:rsid w:val="007E1129"/>
    <w:rsid w:val="007E13F9"/>
    <w:rsid w:val="007E2371"/>
    <w:rsid w:val="007E244B"/>
    <w:rsid w:val="007E354E"/>
    <w:rsid w:val="007E3825"/>
    <w:rsid w:val="007E3B3F"/>
    <w:rsid w:val="007E3FDB"/>
    <w:rsid w:val="007E45B0"/>
    <w:rsid w:val="007E4A3F"/>
    <w:rsid w:val="007E4BA0"/>
    <w:rsid w:val="007E56EA"/>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B65"/>
    <w:rsid w:val="007F2C4D"/>
    <w:rsid w:val="007F2EEA"/>
    <w:rsid w:val="007F31CB"/>
    <w:rsid w:val="007F3326"/>
    <w:rsid w:val="007F3F1F"/>
    <w:rsid w:val="007F42F4"/>
    <w:rsid w:val="007F4B81"/>
    <w:rsid w:val="007F5111"/>
    <w:rsid w:val="007F5334"/>
    <w:rsid w:val="007F5819"/>
    <w:rsid w:val="007F69BD"/>
    <w:rsid w:val="007F6BAF"/>
    <w:rsid w:val="007F6C6B"/>
    <w:rsid w:val="007F74E1"/>
    <w:rsid w:val="007F769A"/>
    <w:rsid w:val="007F778D"/>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45"/>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3C13"/>
    <w:rsid w:val="00835066"/>
    <w:rsid w:val="008351D8"/>
    <w:rsid w:val="00836074"/>
    <w:rsid w:val="00837418"/>
    <w:rsid w:val="0083779C"/>
    <w:rsid w:val="00837D42"/>
    <w:rsid w:val="00837F6E"/>
    <w:rsid w:val="00840418"/>
    <w:rsid w:val="008425AC"/>
    <w:rsid w:val="008425FC"/>
    <w:rsid w:val="008426A7"/>
    <w:rsid w:val="00842FBF"/>
    <w:rsid w:val="0084338C"/>
    <w:rsid w:val="00843B48"/>
    <w:rsid w:val="00843EFC"/>
    <w:rsid w:val="008457A2"/>
    <w:rsid w:val="00845DE6"/>
    <w:rsid w:val="008462E2"/>
    <w:rsid w:val="008465D9"/>
    <w:rsid w:val="00847178"/>
    <w:rsid w:val="008472C4"/>
    <w:rsid w:val="00847AE1"/>
    <w:rsid w:val="008508A8"/>
    <w:rsid w:val="0085098A"/>
    <w:rsid w:val="00852FD2"/>
    <w:rsid w:val="008539D4"/>
    <w:rsid w:val="00853A15"/>
    <w:rsid w:val="00853AEF"/>
    <w:rsid w:val="00853C02"/>
    <w:rsid w:val="00853C51"/>
    <w:rsid w:val="00854229"/>
    <w:rsid w:val="008543DB"/>
    <w:rsid w:val="00854848"/>
    <w:rsid w:val="008563D6"/>
    <w:rsid w:val="008603E3"/>
    <w:rsid w:val="008605B4"/>
    <w:rsid w:val="00860DD4"/>
    <w:rsid w:val="00861667"/>
    <w:rsid w:val="00862420"/>
    <w:rsid w:val="008625E5"/>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67E58"/>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595"/>
    <w:rsid w:val="00881D50"/>
    <w:rsid w:val="00882339"/>
    <w:rsid w:val="00883E83"/>
    <w:rsid w:val="0088423B"/>
    <w:rsid w:val="00884377"/>
    <w:rsid w:val="00886695"/>
    <w:rsid w:val="00886906"/>
    <w:rsid w:val="008869A9"/>
    <w:rsid w:val="00886A26"/>
    <w:rsid w:val="00886FCE"/>
    <w:rsid w:val="00887361"/>
    <w:rsid w:val="00887750"/>
    <w:rsid w:val="00891025"/>
    <w:rsid w:val="00891629"/>
    <w:rsid w:val="008927A8"/>
    <w:rsid w:val="00892ADE"/>
    <w:rsid w:val="00892AF7"/>
    <w:rsid w:val="008936A6"/>
    <w:rsid w:val="00893A2C"/>
    <w:rsid w:val="00893C37"/>
    <w:rsid w:val="00893C41"/>
    <w:rsid w:val="008943B7"/>
    <w:rsid w:val="00894FE3"/>
    <w:rsid w:val="0089582D"/>
    <w:rsid w:val="00895DCE"/>
    <w:rsid w:val="00896731"/>
    <w:rsid w:val="00897F28"/>
    <w:rsid w:val="008A0946"/>
    <w:rsid w:val="008A0BAF"/>
    <w:rsid w:val="008A14D5"/>
    <w:rsid w:val="008A1B35"/>
    <w:rsid w:val="008A2541"/>
    <w:rsid w:val="008A26AD"/>
    <w:rsid w:val="008A3AC3"/>
    <w:rsid w:val="008A429A"/>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43A"/>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08"/>
    <w:rsid w:val="008C14C6"/>
    <w:rsid w:val="008C28FA"/>
    <w:rsid w:val="008C2A67"/>
    <w:rsid w:val="008C2ACA"/>
    <w:rsid w:val="008C2DFB"/>
    <w:rsid w:val="008C335C"/>
    <w:rsid w:val="008C342B"/>
    <w:rsid w:val="008C3769"/>
    <w:rsid w:val="008C3B75"/>
    <w:rsid w:val="008C3DF8"/>
    <w:rsid w:val="008C5137"/>
    <w:rsid w:val="008C568A"/>
    <w:rsid w:val="008C6D9D"/>
    <w:rsid w:val="008C7139"/>
    <w:rsid w:val="008C7756"/>
    <w:rsid w:val="008C792E"/>
    <w:rsid w:val="008C7B80"/>
    <w:rsid w:val="008C7B8F"/>
    <w:rsid w:val="008D06BA"/>
    <w:rsid w:val="008D0D55"/>
    <w:rsid w:val="008D0E61"/>
    <w:rsid w:val="008D1239"/>
    <w:rsid w:val="008D134D"/>
    <w:rsid w:val="008D1DC9"/>
    <w:rsid w:val="008D1FE3"/>
    <w:rsid w:val="008D2BC2"/>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1EC6"/>
    <w:rsid w:val="008E2284"/>
    <w:rsid w:val="008E2362"/>
    <w:rsid w:val="008E2464"/>
    <w:rsid w:val="008E2520"/>
    <w:rsid w:val="008E281F"/>
    <w:rsid w:val="008E293E"/>
    <w:rsid w:val="008E3F4C"/>
    <w:rsid w:val="008E45D0"/>
    <w:rsid w:val="008E4758"/>
    <w:rsid w:val="008E4A78"/>
    <w:rsid w:val="008E4DAB"/>
    <w:rsid w:val="008E5A3B"/>
    <w:rsid w:val="008E5A76"/>
    <w:rsid w:val="008E5C48"/>
    <w:rsid w:val="008E61C1"/>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DCF"/>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4BEE"/>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607"/>
    <w:rsid w:val="009148AD"/>
    <w:rsid w:val="00914BDD"/>
    <w:rsid w:val="0091507D"/>
    <w:rsid w:val="009158B8"/>
    <w:rsid w:val="00915A2F"/>
    <w:rsid w:val="00916325"/>
    <w:rsid w:val="00916676"/>
    <w:rsid w:val="00917A7D"/>
    <w:rsid w:val="00920C9F"/>
    <w:rsid w:val="0092120A"/>
    <w:rsid w:val="00921D5C"/>
    <w:rsid w:val="00921FF2"/>
    <w:rsid w:val="009226AA"/>
    <w:rsid w:val="00922EE1"/>
    <w:rsid w:val="009234FB"/>
    <w:rsid w:val="00924342"/>
    <w:rsid w:val="00924A87"/>
    <w:rsid w:val="0092596A"/>
    <w:rsid w:val="00925A25"/>
    <w:rsid w:val="00926FC2"/>
    <w:rsid w:val="009270E7"/>
    <w:rsid w:val="0092797C"/>
    <w:rsid w:val="00927D5B"/>
    <w:rsid w:val="00927EDC"/>
    <w:rsid w:val="009306F5"/>
    <w:rsid w:val="00930765"/>
    <w:rsid w:val="00930C13"/>
    <w:rsid w:val="00930E9A"/>
    <w:rsid w:val="00930F17"/>
    <w:rsid w:val="00931AA1"/>
    <w:rsid w:val="00932916"/>
    <w:rsid w:val="00932A45"/>
    <w:rsid w:val="00932F63"/>
    <w:rsid w:val="009333D0"/>
    <w:rsid w:val="00933AFA"/>
    <w:rsid w:val="009343C8"/>
    <w:rsid w:val="00935022"/>
    <w:rsid w:val="009356D9"/>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488"/>
    <w:rsid w:val="00945FC4"/>
    <w:rsid w:val="0094627A"/>
    <w:rsid w:val="00946381"/>
    <w:rsid w:val="0094676D"/>
    <w:rsid w:val="009468F5"/>
    <w:rsid w:val="00947378"/>
    <w:rsid w:val="00947A21"/>
    <w:rsid w:val="00947D2A"/>
    <w:rsid w:val="00950345"/>
    <w:rsid w:val="00950A34"/>
    <w:rsid w:val="009510A0"/>
    <w:rsid w:val="00951385"/>
    <w:rsid w:val="009515AD"/>
    <w:rsid w:val="009516D8"/>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359"/>
    <w:rsid w:val="00966662"/>
    <w:rsid w:val="00966AFF"/>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B9C"/>
    <w:rsid w:val="00974C0C"/>
    <w:rsid w:val="009751D3"/>
    <w:rsid w:val="00975779"/>
    <w:rsid w:val="00976938"/>
    <w:rsid w:val="00976D6B"/>
    <w:rsid w:val="00976E0B"/>
    <w:rsid w:val="00977399"/>
    <w:rsid w:val="00977773"/>
    <w:rsid w:val="00977AC3"/>
    <w:rsid w:val="00977CA3"/>
    <w:rsid w:val="009802E5"/>
    <w:rsid w:val="009815F6"/>
    <w:rsid w:val="009817D6"/>
    <w:rsid w:val="00982099"/>
    <w:rsid w:val="009820F9"/>
    <w:rsid w:val="009822DF"/>
    <w:rsid w:val="009829A1"/>
    <w:rsid w:val="0098309F"/>
    <w:rsid w:val="00983546"/>
    <w:rsid w:val="00983743"/>
    <w:rsid w:val="009838C1"/>
    <w:rsid w:val="00984B9A"/>
    <w:rsid w:val="00986242"/>
    <w:rsid w:val="0098663C"/>
    <w:rsid w:val="00987EC3"/>
    <w:rsid w:val="00987F30"/>
    <w:rsid w:val="00991753"/>
    <w:rsid w:val="00991834"/>
    <w:rsid w:val="00991C56"/>
    <w:rsid w:val="00992970"/>
    <w:rsid w:val="00992ED8"/>
    <w:rsid w:val="009943AA"/>
    <w:rsid w:val="00995A64"/>
    <w:rsid w:val="00996637"/>
    <w:rsid w:val="009A0113"/>
    <w:rsid w:val="009A08EE"/>
    <w:rsid w:val="009A1780"/>
    <w:rsid w:val="009A1B02"/>
    <w:rsid w:val="009A1F0C"/>
    <w:rsid w:val="009A25A4"/>
    <w:rsid w:val="009A2C12"/>
    <w:rsid w:val="009A2F73"/>
    <w:rsid w:val="009A36D1"/>
    <w:rsid w:val="009A3C27"/>
    <w:rsid w:val="009A3FFF"/>
    <w:rsid w:val="009A4065"/>
    <w:rsid w:val="009A4A66"/>
    <w:rsid w:val="009A4ADC"/>
    <w:rsid w:val="009A55F8"/>
    <w:rsid w:val="009A6910"/>
    <w:rsid w:val="009A6A43"/>
    <w:rsid w:val="009A6DB7"/>
    <w:rsid w:val="009A750D"/>
    <w:rsid w:val="009A7A23"/>
    <w:rsid w:val="009A7F0F"/>
    <w:rsid w:val="009B008A"/>
    <w:rsid w:val="009B075D"/>
    <w:rsid w:val="009B1238"/>
    <w:rsid w:val="009B1329"/>
    <w:rsid w:val="009B1989"/>
    <w:rsid w:val="009B19BA"/>
    <w:rsid w:val="009B1B80"/>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0E9"/>
    <w:rsid w:val="009C223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2A9"/>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6FCE"/>
    <w:rsid w:val="009D7039"/>
    <w:rsid w:val="009D7E11"/>
    <w:rsid w:val="009E072E"/>
    <w:rsid w:val="009E0763"/>
    <w:rsid w:val="009E0E41"/>
    <w:rsid w:val="009E151F"/>
    <w:rsid w:val="009E155F"/>
    <w:rsid w:val="009E15F1"/>
    <w:rsid w:val="009E2D8D"/>
    <w:rsid w:val="009E2FB5"/>
    <w:rsid w:val="009E4083"/>
    <w:rsid w:val="009E42F1"/>
    <w:rsid w:val="009E461C"/>
    <w:rsid w:val="009E49D0"/>
    <w:rsid w:val="009E4B74"/>
    <w:rsid w:val="009E5022"/>
    <w:rsid w:val="009E61C3"/>
    <w:rsid w:val="009E6791"/>
    <w:rsid w:val="009E6884"/>
    <w:rsid w:val="009E6D0E"/>
    <w:rsid w:val="009E7638"/>
    <w:rsid w:val="009F047C"/>
    <w:rsid w:val="009F0ADE"/>
    <w:rsid w:val="009F1A0F"/>
    <w:rsid w:val="009F2DBF"/>
    <w:rsid w:val="009F3061"/>
    <w:rsid w:val="009F35E5"/>
    <w:rsid w:val="009F377C"/>
    <w:rsid w:val="009F3E3E"/>
    <w:rsid w:val="009F415D"/>
    <w:rsid w:val="009F467A"/>
    <w:rsid w:val="009F47DD"/>
    <w:rsid w:val="009F48E7"/>
    <w:rsid w:val="009F519C"/>
    <w:rsid w:val="009F51C5"/>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3C83"/>
    <w:rsid w:val="00A0420F"/>
    <w:rsid w:val="00A0478C"/>
    <w:rsid w:val="00A05C86"/>
    <w:rsid w:val="00A0646B"/>
    <w:rsid w:val="00A06CC2"/>
    <w:rsid w:val="00A07038"/>
    <w:rsid w:val="00A07114"/>
    <w:rsid w:val="00A0730A"/>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A07"/>
    <w:rsid w:val="00A26AE0"/>
    <w:rsid w:val="00A26D92"/>
    <w:rsid w:val="00A26F61"/>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9DC"/>
    <w:rsid w:val="00A41AD2"/>
    <w:rsid w:val="00A43114"/>
    <w:rsid w:val="00A444DE"/>
    <w:rsid w:val="00A451FD"/>
    <w:rsid w:val="00A453A7"/>
    <w:rsid w:val="00A45439"/>
    <w:rsid w:val="00A455C0"/>
    <w:rsid w:val="00A45948"/>
    <w:rsid w:val="00A461B9"/>
    <w:rsid w:val="00A47B9C"/>
    <w:rsid w:val="00A47BDC"/>
    <w:rsid w:val="00A511CD"/>
    <w:rsid w:val="00A51257"/>
    <w:rsid w:val="00A513B6"/>
    <w:rsid w:val="00A51929"/>
    <w:rsid w:val="00A51A59"/>
    <w:rsid w:val="00A51D00"/>
    <w:rsid w:val="00A52303"/>
    <w:rsid w:val="00A52488"/>
    <w:rsid w:val="00A527F5"/>
    <w:rsid w:val="00A5308B"/>
    <w:rsid w:val="00A530D1"/>
    <w:rsid w:val="00A5320A"/>
    <w:rsid w:val="00A53283"/>
    <w:rsid w:val="00A5330E"/>
    <w:rsid w:val="00A5357F"/>
    <w:rsid w:val="00A53843"/>
    <w:rsid w:val="00A53F30"/>
    <w:rsid w:val="00A548D9"/>
    <w:rsid w:val="00A54B56"/>
    <w:rsid w:val="00A556DC"/>
    <w:rsid w:val="00A557F5"/>
    <w:rsid w:val="00A55C1E"/>
    <w:rsid w:val="00A55ED4"/>
    <w:rsid w:val="00A562AB"/>
    <w:rsid w:val="00A564A7"/>
    <w:rsid w:val="00A566EC"/>
    <w:rsid w:val="00A56BD5"/>
    <w:rsid w:val="00A57076"/>
    <w:rsid w:val="00A57C30"/>
    <w:rsid w:val="00A6024B"/>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844"/>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915"/>
    <w:rsid w:val="00A85AF9"/>
    <w:rsid w:val="00A8614D"/>
    <w:rsid w:val="00A86238"/>
    <w:rsid w:val="00A8640E"/>
    <w:rsid w:val="00A864F3"/>
    <w:rsid w:val="00A86544"/>
    <w:rsid w:val="00A8670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2A5"/>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1C6"/>
    <w:rsid w:val="00AA32EC"/>
    <w:rsid w:val="00AA3A18"/>
    <w:rsid w:val="00AA3CE0"/>
    <w:rsid w:val="00AA4052"/>
    <w:rsid w:val="00AA43ED"/>
    <w:rsid w:val="00AA493D"/>
    <w:rsid w:val="00AA516A"/>
    <w:rsid w:val="00AA5E97"/>
    <w:rsid w:val="00AA5FB9"/>
    <w:rsid w:val="00AA63F0"/>
    <w:rsid w:val="00AA75B5"/>
    <w:rsid w:val="00AA765B"/>
    <w:rsid w:val="00AA7CC4"/>
    <w:rsid w:val="00AB0977"/>
    <w:rsid w:val="00AB0A6C"/>
    <w:rsid w:val="00AB0AAA"/>
    <w:rsid w:val="00AB28A3"/>
    <w:rsid w:val="00AB2A58"/>
    <w:rsid w:val="00AB2F06"/>
    <w:rsid w:val="00AB3326"/>
    <w:rsid w:val="00AB35DE"/>
    <w:rsid w:val="00AB38E0"/>
    <w:rsid w:val="00AB47F6"/>
    <w:rsid w:val="00AB4D80"/>
    <w:rsid w:val="00AB4FFD"/>
    <w:rsid w:val="00AB5073"/>
    <w:rsid w:val="00AB5A1E"/>
    <w:rsid w:val="00AB5C08"/>
    <w:rsid w:val="00AB61A9"/>
    <w:rsid w:val="00AB654E"/>
    <w:rsid w:val="00AB78CF"/>
    <w:rsid w:val="00AB7E1D"/>
    <w:rsid w:val="00AC0282"/>
    <w:rsid w:val="00AC05FB"/>
    <w:rsid w:val="00AC07AC"/>
    <w:rsid w:val="00AC0CB1"/>
    <w:rsid w:val="00AC218F"/>
    <w:rsid w:val="00AC2858"/>
    <w:rsid w:val="00AC2E10"/>
    <w:rsid w:val="00AC3235"/>
    <w:rsid w:val="00AC33E9"/>
    <w:rsid w:val="00AC3B03"/>
    <w:rsid w:val="00AC4950"/>
    <w:rsid w:val="00AC4D79"/>
    <w:rsid w:val="00AC4DF7"/>
    <w:rsid w:val="00AC58EC"/>
    <w:rsid w:val="00AC5A51"/>
    <w:rsid w:val="00AC5ACE"/>
    <w:rsid w:val="00AC6197"/>
    <w:rsid w:val="00AC71DA"/>
    <w:rsid w:val="00AC7E3C"/>
    <w:rsid w:val="00AC7F71"/>
    <w:rsid w:val="00AD0018"/>
    <w:rsid w:val="00AD018B"/>
    <w:rsid w:val="00AD0247"/>
    <w:rsid w:val="00AD057B"/>
    <w:rsid w:val="00AD0BE0"/>
    <w:rsid w:val="00AD0C8A"/>
    <w:rsid w:val="00AD14FB"/>
    <w:rsid w:val="00AD1529"/>
    <w:rsid w:val="00AD284C"/>
    <w:rsid w:val="00AD2E3A"/>
    <w:rsid w:val="00AD3DB0"/>
    <w:rsid w:val="00AD3FC8"/>
    <w:rsid w:val="00AD4298"/>
    <w:rsid w:val="00AD45EF"/>
    <w:rsid w:val="00AD4714"/>
    <w:rsid w:val="00AD49B6"/>
    <w:rsid w:val="00AD4C9D"/>
    <w:rsid w:val="00AD4D86"/>
    <w:rsid w:val="00AD50D1"/>
    <w:rsid w:val="00AD54F0"/>
    <w:rsid w:val="00AD604B"/>
    <w:rsid w:val="00AD61F2"/>
    <w:rsid w:val="00AD625C"/>
    <w:rsid w:val="00AD7C6F"/>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4536"/>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973"/>
    <w:rsid w:val="00B15E17"/>
    <w:rsid w:val="00B15E24"/>
    <w:rsid w:val="00B16254"/>
    <w:rsid w:val="00B16767"/>
    <w:rsid w:val="00B177FA"/>
    <w:rsid w:val="00B203E2"/>
    <w:rsid w:val="00B20BB4"/>
    <w:rsid w:val="00B21635"/>
    <w:rsid w:val="00B2184C"/>
    <w:rsid w:val="00B22BA2"/>
    <w:rsid w:val="00B22FCE"/>
    <w:rsid w:val="00B2315E"/>
    <w:rsid w:val="00B25306"/>
    <w:rsid w:val="00B25921"/>
    <w:rsid w:val="00B269C7"/>
    <w:rsid w:val="00B26AE8"/>
    <w:rsid w:val="00B26C67"/>
    <w:rsid w:val="00B270D3"/>
    <w:rsid w:val="00B27322"/>
    <w:rsid w:val="00B27DB3"/>
    <w:rsid w:val="00B27EEA"/>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0653"/>
    <w:rsid w:val="00B42029"/>
    <w:rsid w:val="00B42686"/>
    <w:rsid w:val="00B43E5D"/>
    <w:rsid w:val="00B4489B"/>
    <w:rsid w:val="00B44FEE"/>
    <w:rsid w:val="00B45C65"/>
    <w:rsid w:val="00B4600D"/>
    <w:rsid w:val="00B47218"/>
    <w:rsid w:val="00B475CC"/>
    <w:rsid w:val="00B4777B"/>
    <w:rsid w:val="00B513A7"/>
    <w:rsid w:val="00B5178D"/>
    <w:rsid w:val="00B51CAE"/>
    <w:rsid w:val="00B5207D"/>
    <w:rsid w:val="00B52112"/>
    <w:rsid w:val="00B529C6"/>
    <w:rsid w:val="00B52E62"/>
    <w:rsid w:val="00B53556"/>
    <w:rsid w:val="00B53B45"/>
    <w:rsid w:val="00B53CB3"/>
    <w:rsid w:val="00B54D7E"/>
    <w:rsid w:val="00B55182"/>
    <w:rsid w:val="00B55740"/>
    <w:rsid w:val="00B55A20"/>
    <w:rsid w:val="00B55F7C"/>
    <w:rsid w:val="00B564F3"/>
    <w:rsid w:val="00B56714"/>
    <w:rsid w:val="00B56874"/>
    <w:rsid w:val="00B56ABB"/>
    <w:rsid w:val="00B56CB2"/>
    <w:rsid w:val="00B57BB2"/>
    <w:rsid w:val="00B605B9"/>
    <w:rsid w:val="00B61248"/>
    <w:rsid w:val="00B62644"/>
    <w:rsid w:val="00B62DD9"/>
    <w:rsid w:val="00B63C87"/>
    <w:rsid w:val="00B63F14"/>
    <w:rsid w:val="00B64068"/>
    <w:rsid w:val="00B646FE"/>
    <w:rsid w:val="00B65108"/>
    <w:rsid w:val="00B65EA9"/>
    <w:rsid w:val="00B669BC"/>
    <w:rsid w:val="00B66B39"/>
    <w:rsid w:val="00B67D40"/>
    <w:rsid w:val="00B67F57"/>
    <w:rsid w:val="00B70347"/>
    <w:rsid w:val="00B7079F"/>
    <w:rsid w:val="00B71687"/>
    <w:rsid w:val="00B71CC0"/>
    <w:rsid w:val="00B71E96"/>
    <w:rsid w:val="00B71F1C"/>
    <w:rsid w:val="00B72850"/>
    <w:rsid w:val="00B73543"/>
    <w:rsid w:val="00B73FCF"/>
    <w:rsid w:val="00B7426F"/>
    <w:rsid w:val="00B75BFD"/>
    <w:rsid w:val="00B76109"/>
    <w:rsid w:val="00B76A05"/>
    <w:rsid w:val="00B76DB4"/>
    <w:rsid w:val="00B7762E"/>
    <w:rsid w:val="00B80165"/>
    <w:rsid w:val="00B80240"/>
    <w:rsid w:val="00B80885"/>
    <w:rsid w:val="00B821E5"/>
    <w:rsid w:val="00B82A85"/>
    <w:rsid w:val="00B837F7"/>
    <w:rsid w:val="00B84500"/>
    <w:rsid w:val="00B8496A"/>
    <w:rsid w:val="00B84A40"/>
    <w:rsid w:val="00B87B68"/>
    <w:rsid w:val="00B87E60"/>
    <w:rsid w:val="00B906B4"/>
    <w:rsid w:val="00B91696"/>
    <w:rsid w:val="00B91826"/>
    <w:rsid w:val="00B91AAD"/>
    <w:rsid w:val="00B91C89"/>
    <w:rsid w:val="00B91F25"/>
    <w:rsid w:val="00B92508"/>
    <w:rsid w:val="00B93F34"/>
    <w:rsid w:val="00B941C4"/>
    <w:rsid w:val="00B9442F"/>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2D3B"/>
    <w:rsid w:val="00BA3803"/>
    <w:rsid w:val="00BA39D4"/>
    <w:rsid w:val="00BA3C3A"/>
    <w:rsid w:val="00BA42C6"/>
    <w:rsid w:val="00BA45B8"/>
    <w:rsid w:val="00BA51CE"/>
    <w:rsid w:val="00BA5394"/>
    <w:rsid w:val="00BA5F60"/>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6D8"/>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80E"/>
    <w:rsid w:val="00BC5ACA"/>
    <w:rsid w:val="00BC6357"/>
    <w:rsid w:val="00BC6591"/>
    <w:rsid w:val="00BC6745"/>
    <w:rsid w:val="00BC69D9"/>
    <w:rsid w:val="00BC7472"/>
    <w:rsid w:val="00BC7CA8"/>
    <w:rsid w:val="00BD0E50"/>
    <w:rsid w:val="00BD1002"/>
    <w:rsid w:val="00BD2A95"/>
    <w:rsid w:val="00BD34BD"/>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262A"/>
    <w:rsid w:val="00C03208"/>
    <w:rsid w:val="00C0433C"/>
    <w:rsid w:val="00C0443E"/>
    <w:rsid w:val="00C04930"/>
    <w:rsid w:val="00C053F9"/>
    <w:rsid w:val="00C06996"/>
    <w:rsid w:val="00C0724E"/>
    <w:rsid w:val="00C0761C"/>
    <w:rsid w:val="00C07880"/>
    <w:rsid w:val="00C07914"/>
    <w:rsid w:val="00C07973"/>
    <w:rsid w:val="00C07F3F"/>
    <w:rsid w:val="00C107DC"/>
    <w:rsid w:val="00C1096A"/>
    <w:rsid w:val="00C10C47"/>
    <w:rsid w:val="00C11555"/>
    <w:rsid w:val="00C11D7C"/>
    <w:rsid w:val="00C11E37"/>
    <w:rsid w:val="00C12C82"/>
    <w:rsid w:val="00C142F1"/>
    <w:rsid w:val="00C14733"/>
    <w:rsid w:val="00C1560F"/>
    <w:rsid w:val="00C1563B"/>
    <w:rsid w:val="00C15F47"/>
    <w:rsid w:val="00C160C4"/>
    <w:rsid w:val="00C1622C"/>
    <w:rsid w:val="00C17AFD"/>
    <w:rsid w:val="00C2083F"/>
    <w:rsid w:val="00C209E8"/>
    <w:rsid w:val="00C20CB3"/>
    <w:rsid w:val="00C20E1A"/>
    <w:rsid w:val="00C22419"/>
    <w:rsid w:val="00C22721"/>
    <w:rsid w:val="00C2288F"/>
    <w:rsid w:val="00C22E53"/>
    <w:rsid w:val="00C22EC1"/>
    <w:rsid w:val="00C233A4"/>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2CAB"/>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314"/>
    <w:rsid w:val="00C45C96"/>
    <w:rsid w:val="00C46F72"/>
    <w:rsid w:val="00C472AE"/>
    <w:rsid w:val="00C4730E"/>
    <w:rsid w:val="00C4764A"/>
    <w:rsid w:val="00C47839"/>
    <w:rsid w:val="00C50430"/>
    <w:rsid w:val="00C504B1"/>
    <w:rsid w:val="00C50DAC"/>
    <w:rsid w:val="00C517CB"/>
    <w:rsid w:val="00C517DD"/>
    <w:rsid w:val="00C519F0"/>
    <w:rsid w:val="00C52399"/>
    <w:rsid w:val="00C52877"/>
    <w:rsid w:val="00C52CA1"/>
    <w:rsid w:val="00C5337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76D"/>
    <w:rsid w:val="00C60CBF"/>
    <w:rsid w:val="00C61227"/>
    <w:rsid w:val="00C61649"/>
    <w:rsid w:val="00C62093"/>
    <w:rsid w:val="00C62E19"/>
    <w:rsid w:val="00C62E82"/>
    <w:rsid w:val="00C63479"/>
    <w:rsid w:val="00C63C6B"/>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30D8"/>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740"/>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04E"/>
    <w:rsid w:val="00CB33D5"/>
    <w:rsid w:val="00CB3A65"/>
    <w:rsid w:val="00CB3DB9"/>
    <w:rsid w:val="00CB3FBA"/>
    <w:rsid w:val="00CB43FA"/>
    <w:rsid w:val="00CB5217"/>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3AC2"/>
    <w:rsid w:val="00CD4043"/>
    <w:rsid w:val="00CD4A53"/>
    <w:rsid w:val="00CD4AC5"/>
    <w:rsid w:val="00CD4F96"/>
    <w:rsid w:val="00CD50A9"/>
    <w:rsid w:val="00CD56C6"/>
    <w:rsid w:val="00CD5A93"/>
    <w:rsid w:val="00CD66A4"/>
    <w:rsid w:val="00CD68D1"/>
    <w:rsid w:val="00CD6C00"/>
    <w:rsid w:val="00CD763F"/>
    <w:rsid w:val="00CD79A6"/>
    <w:rsid w:val="00CD7ACF"/>
    <w:rsid w:val="00CE04D9"/>
    <w:rsid w:val="00CE0CBB"/>
    <w:rsid w:val="00CE147C"/>
    <w:rsid w:val="00CE1D29"/>
    <w:rsid w:val="00CE235F"/>
    <w:rsid w:val="00CE28FF"/>
    <w:rsid w:val="00CE3E48"/>
    <w:rsid w:val="00CE5182"/>
    <w:rsid w:val="00CE6FA4"/>
    <w:rsid w:val="00CE7A49"/>
    <w:rsid w:val="00CF0097"/>
    <w:rsid w:val="00CF0574"/>
    <w:rsid w:val="00CF0936"/>
    <w:rsid w:val="00CF12BC"/>
    <w:rsid w:val="00CF1870"/>
    <w:rsid w:val="00CF2815"/>
    <w:rsid w:val="00CF335C"/>
    <w:rsid w:val="00CF356C"/>
    <w:rsid w:val="00CF3AF1"/>
    <w:rsid w:val="00CF3F52"/>
    <w:rsid w:val="00CF4AFC"/>
    <w:rsid w:val="00CF4BCF"/>
    <w:rsid w:val="00CF571C"/>
    <w:rsid w:val="00CF577F"/>
    <w:rsid w:val="00CF6234"/>
    <w:rsid w:val="00CF6510"/>
    <w:rsid w:val="00CF70C4"/>
    <w:rsid w:val="00CF756E"/>
    <w:rsid w:val="00CF75B6"/>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A33"/>
    <w:rsid w:val="00D12CE8"/>
    <w:rsid w:val="00D13153"/>
    <w:rsid w:val="00D13924"/>
    <w:rsid w:val="00D13A3A"/>
    <w:rsid w:val="00D13BC4"/>
    <w:rsid w:val="00D13F5A"/>
    <w:rsid w:val="00D1444B"/>
    <w:rsid w:val="00D151D5"/>
    <w:rsid w:val="00D1591B"/>
    <w:rsid w:val="00D15923"/>
    <w:rsid w:val="00D159A0"/>
    <w:rsid w:val="00D1637D"/>
    <w:rsid w:val="00D167DE"/>
    <w:rsid w:val="00D16C46"/>
    <w:rsid w:val="00D17351"/>
    <w:rsid w:val="00D176EB"/>
    <w:rsid w:val="00D17965"/>
    <w:rsid w:val="00D20658"/>
    <w:rsid w:val="00D208F9"/>
    <w:rsid w:val="00D20AF9"/>
    <w:rsid w:val="00D20C60"/>
    <w:rsid w:val="00D20CDC"/>
    <w:rsid w:val="00D214BE"/>
    <w:rsid w:val="00D22FF1"/>
    <w:rsid w:val="00D2422E"/>
    <w:rsid w:val="00D246D3"/>
    <w:rsid w:val="00D249F0"/>
    <w:rsid w:val="00D2520C"/>
    <w:rsid w:val="00D25412"/>
    <w:rsid w:val="00D25546"/>
    <w:rsid w:val="00D2616A"/>
    <w:rsid w:val="00D269FA"/>
    <w:rsid w:val="00D26BEB"/>
    <w:rsid w:val="00D2701A"/>
    <w:rsid w:val="00D30475"/>
    <w:rsid w:val="00D30A34"/>
    <w:rsid w:val="00D30B7A"/>
    <w:rsid w:val="00D31A78"/>
    <w:rsid w:val="00D3218D"/>
    <w:rsid w:val="00D321F0"/>
    <w:rsid w:val="00D322A9"/>
    <w:rsid w:val="00D3241E"/>
    <w:rsid w:val="00D3265F"/>
    <w:rsid w:val="00D32CC2"/>
    <w:rsid w:val="00D33B0A"/>
    <w:rsid w:val="00D33BB1"/>
    <w:rsid w:val="00D33E55"/>
    <w:rsid w:val="00D3400C"/>
    <w:rsid w:val="00D34920"/>
    <w:rsid w:val="00D34A27"/>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77"/>
    <w:rsid w:val="00D42B94"/>
    <w:rsid w:val="00D430F7"/>
    <w:rsid w:val="00D433A2"/>
    <w:rsid w:val="00D4342D"/>
    <w:rsid w:val="00D4356B"/>
    <w:rsid w:val="00D4358A"/>
    <w:rsid w:val="00D43CC5"/>
    <w:rsid w:val="00D446A2"/>
    <w:rsid w:val="00D44839"/>
    <w:rsid w:val="00D450CF"/>
    <w:rsid w:val="00D458F4"/>
    <w:rsid w:val="00D4595E"/>
    <w:rsid w:val="00D45A01"/>
    <w:rsid w:val="00D4638C"/>
    <w:rsid w:val="00D465C2"/>
    <w:rsid w:val="00D4688A"/>
    <w:rsid w:val="00D46A16"/>
    <w:rsid w:val="00D47694"/>
    <w:rsid w:val="00D479E9"/>
    <w:rsid w:val="00D47C4F"/>
    <w:rsid w:val="00D500FA"/>
    <w:rsid w:val="00D515DB"/>
    <w:rsid w:val="00D518CB"/>
    <w:rsid w:val="00D523E1"/>
    <w:rsid w:val="00D52FC7"/>
    <w:rsid w:val="00D5301B"/>
    <w:rsid w:val="00D536C2"/>
    <w:rsid w:val="00D544BF"/>
    <w:rsid w:val="00D55BDF"/>
    <w:rsid w:val="00D563D1"/>
    <w:rsid w:val="00D56C54"/>
    <w:rsid w:val="00D57585"/>
    <w:rsid w:val="00D57F7C"/>
    <w:rsid w:val="00D60185"/>
    <w:rsid w:val="00D6032B"/>
    <w:rsid w:val="00D6051A"/>
    <w:rsid w:val="00D60557"/>
    <w:rsid w:val="00D60BFE"/>
    <w:rsid w:val="00D60C1A"/>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316"/>
    <w:rsid w:val="00D738A7"/>
    <w:rsid w:val="00D73D97"/>
    <w:rsid w:val="00D741A4"/>
    <w:rsid w:val="00D74714"/>
    <w:rsid w:val="00D75005"/>
    <w:rsid w:val="00D752F4"/>
    <w:rsid w:val="00D753C0"/>
    <w:rsid w:val="00D756FD"/>
    <w:rsid w:val="00D75DF5"/>
    <w:rsid w:val="00D76776"/>
    <w:rsid w:val="00D76BB6"/>
    <w:rsid w:val="00D800F0"/>
    <w:rsid w:val="00D805F9"/>
    <w:rsid w:val="00D8075C"/>
    <w:rsid w:val="00D810E9"/>
    <w:rsid w:val="00D8156C"/>
    <w:rsid w:val="00D81E11"/>
    <w:rsid w:val="00D82558"/>
    <w:rsid w:val="00D825AB"/>
    <w:rsid w:val="00D83120"/>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3A4E"/>
    <w:rsid w:val="00D95206"/>
    <w:rsid w:val="00D95BD0"/>
    <w:rsid w:val="00D95FA9"/>
    <w:rsid w:val="00D96B82"/>
    <w:rsid w:val="00D96C6F"/>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325"/>
    <w:rsid w:val="00DE54A4"/>
    <w:rsid w:val="00DE700B"/>
    <w:rsid w:val="00DE7771"/>
    <w:rsid w:val="00DE794C"/>
    <w:rsid w:val="00DE7A50"/>
    <w:rsid w:val="00DF0608"/>
    <w:rsid w:val="00DF0C35"/>
    <w:rsid w:val="00DF1C22"/>
    <w:rsid w:val="00DF2005"/>
    <w:rsid w:val="00DF27D0"/>
    <w:rsid w:val="00DF27E9"/>
    <w:rsid w:val="00DF2B6C"/>
    <w:rsid w:val="00DF3757"/>
    <w:rsid w:val="00DF4DAE"/>
    <w:rsid w:val="00DF4F62"/>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499"/>
    <w:rsid w:val="00E05D45"/>
    <w:rsid w:val="00E06087"/>
    <w:rsid w:val="00E06192"/>
    <w:rsid w:val="00E06474"/>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886"/>
    <w:rsid w:val="00E26B29"/>
    <w:rsid w:val="00E26EC4"/>
    <w:rsid w:val="00E27112"/>
    <w:rsid w:val="00E27332"/>
    <w:rsid w:val="00E3060D"/>
    <w:rsid w:val="00E30BA3"/>
    <w:rsid w:val="00E30BC2"/>
    <w:rsid w:val="00E31E1D"/>
    <w:rsid w:val="00E32A76"/>
    <w:rsid w:val="00E32B49"/>
    <w:rsid w:val="00E341B4"/>
    <w:rsid w:val="00E345EC"/>
    <w:rsid w:val="00E346AE"/>
    <w:rsid w:val="00E34F97"/>
    <w:rsid w:val="00E365FD"/>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47017"/>
    <w:rsid w:val="00E5005E"/>
    <w:rsid w:val="00E50714"/>
    <w:rsid w:val="00E50922"/>
    <w:rsid w:val="00E5160B"/>
    <w:rsid w:val="00E516D9"/>
    <w:rsid w:val="00E517A8"/>
    <w:rsid w:val="00E52363"/>
    <w:rsid w:val="00E52BB7"/>
    <w:rsid w:val="00E5338C"/>
    <w:rsid w:val="00E535AE"/>
    <w:rsid w:val="00E54711"/>
    <w:rsid w:val="00E54A22"/>
    <w:rsid w:val="00E54CF7"/>
    <w:rsid w:val="00E5533D"/>
    <w:rsid w:val="00E555EA"/>
    <w:rsid w:val="00E55B45"/>
    <w:rsid w:val="00E56236"/>
    <w:rsid w:val="00E56921"/>
    <w:rsid w:val="00E5782B"/>
    <w:rsid w:val="00E60008"/>
    <w:rsid w:val="00E60438"/>
    <w:rsid w:val="00E60665"/>
    <w:rsid w:val="00E61704"/>
    <w:rsid w:val="00E61F09"/>
    <w:rsid w:val="00E62411"/>
    <w:rsid w:val="00E627AE"/>
    <w:rsid w:val="00E62AA9"/>
    <w:rsid w:val="00E63216"/>
    <w:rsid w:val="00E635D5"/>
    <w:rsid w:val="00E6403C"/>
    <w:rsid w:val="00E64234"/>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96F"/>
    <w:rsid w:val="00E76F40"/>
    <w:rsid w:val="00E77A56"/>
    <w:rsid w:val="00E77C7C"/>
    <w:rsid w:val="00E77DEE"/>
    <w:rsid w:val="00E77E9A"/>
    <w:rsid w:val="00E80310"/>
    <w:rsid w:val="00E804D8"/>
    <w:rsid w:val="00E80B06"/>
    <w:rsid w:val="00E80BB4"/>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097"/>
    <w:rsid w:val="00E938A6"/>
    <w:rsid w:val="00E93EC9"/>
    <w:rsid w:val="00E941AD"/>
    <w:rsid w:val="00E941D4"/>
    <w:rsid w:val="00E94531"/>
    <w:rsid w:val="00E94AAC"/>
    <w:rsid w:val="00E9514A"/>
    <w:rsid w:val="00E95362"/>
    <w:rsid w:val="00E95A6F"/>
    <w:rsid w:val="00E960DA"/>
    <w:rsid w:val="00E962D3"/>
    <w:rsid w:val="00E97641"/>
    <w:rsid w:val="00E97723"/>
    <w:rsid w:val="00E97F29"/>
    <w:rsid w:val="00EA0137"/>
    <w:rsid w:val="00EA03B9"/>
    <w:rsid w:val="00EA06FF"/>
    <w:rsid w:val="00EA0A82"/>
    <w:rsid w:val="00EA0B36"/>
    <w:rsid w:val="00EA0F62"/>
    <w:rsid w:val="00EA1C16"/>
    <w:rsid w:val="00EA1C8B"/>
    <w:rsid w:val="00EA21C3"/>
    <w:rsid w:val="00EA320D"/>
    <w:rsid w:val="00EA3820"/>
    <w:rsid w:val="00EA3B26"/>
    <w:rsid w:val="00EA4280"/>
    <w:rsid w:val="00EA42DA"/>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75C"/>
    <w:rsid w:val="00EB4C40"/>
    <w:rsid w:val="00EB4E5B"/>
    <w:rsid w:val="00EB500D"/>
    <w:rsid w:val="00EB5095"/>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2EF9"/>
    <w:rsid w:val="00EF340E"/>
    <w:rsid w:val="00EF3C01"/>
    <w:rsid w:val="00EF3F6B"/>
    <w:rsid w:val="00EF4B22"/>
    <w:rsid w:val="00EF4B53"/>
    <w:rsid w:val="00EF55C7"/>
    <w:rsid w:val="00EF57AA"/>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8AE"/>
    <w:rsid w:val="00F04BC4"/>
    <w:rsid w:val="00F04C61"/>
    <w:rsid w:val="00F067AE"/>
    <w:rsid w:val="00F06801"/>
    <w:rsid w:val="00F07E1F"/>
    <w:rsid w:val="00F103AC"/>
    <w:rsid w:val="00F10765"/>
    <w:rsid w:val="00F1164B"/>
    <w:rsid w:val="00F11A99"/>
    <w:rsid w:val="00F13E0B"/>
    <w:rsid w:val="00F14018"/>
    <w:rsid w:val="00F1425E"/>
    <w:rsid w:val="00F14447"/>
    <w:rsid w:val="00F14855"/>
    <w:rsid w:val="00F153D1"/>
    <w:rsid w:val="00F15655"/>
    <w:rsid w:val="00F15845"/>
    <w:rsid w:val="00F166D9"/>
    <w:rsid w:val="00F16FD4"/>
    <w:rsid w:val="00F20FC4"/>
    <w:rsid w:val="00F218D1"/>
    <w:rsid w:val="00F2198F"/>
    <w:rsid w:val="00F21B1C"/>
    <w:rsid w:val="00F22103"/>
    <w:rsid w:val="00F223DC"/>
    <w:rsid w:val="00F22ADD"/>
    <w:rsid w:val="00F23271"/>
    <w:rsid w:val="00F2385E"/>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47EDC"/>
    <w:rsid w:val="00F50676"/>
    <w:rsid w:val="00F510AF"/>
    <w:rsid w:val="00F51774"/>
    <w:rsid w:val="00F51F6B"/>
    <w:rsid w:val="00F52828"/>
    <w:rsid w:val="00F5375E"/>
    <w:rsid w:val="00F53849"/>
    <w:rsid w:val="00F539D1"/>
    <w:rsid w:val="00F54834"/>
    <w:rsid w:val="00F54FB9"/>
    <w:rsid w:val="00F55715"/>
    <w:rsid w:val="00F55A56"/>
    <w:rsid w:val="00F55AFF"/>
    <w:rsid w:val="00F55F25"/>
    <w:rsid w:val="00F5664A"/>
    <w:rsid w:val="00F57AB4"/>
    <w:rsid w:val="00F57B7D"/>
    <w:rsid w:val="00F600E5"/>
    <w:rsid w:val="00F604B7"/>
    <w:rsid w:val="00F60AD6"/>
    <w:rsid w:val="00F610A1"/>
    <w:rsid w:val="00F6142A"/>
    <w:rsid w:val="00F6179A"/>
    <w:rsid w:val="00F61A83"/>
    <w:rsid w:val="00F61D2E"/>
    <w:rsid w:val="00F62176"/>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8A3"/>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616"/>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5A0"/>
    <w:rsid w:val="00FA17BB"/>
    <w:rsid w:val="00FA18C3"/>
    <w:rsid w:val="00FA25B4"/>
    <w:rsid w:val="00FA3AEE"/>
    <w:rsid w:val="00FA3FE8"/>
    <w:rsid w:val="00FA42C7"/>
    <w:rsid w:val="00FA4488"/>
    <w:rsid w:val="00FA4974"/>
    <w:rsid w:val="00FA61DA"/>
    <w:rsid w:val="00FA6930"/>
    <w:rsid w:val="00FA7350"/>
    <w:rsid w:val="00FA74C8"/>
    <w:rsid w:val="00FA7DE9"/>
    <w:rsid w:val="00FB069A"/>
    <w:rsid w:val="00FB0949"/>
    <w:rsid w:val="00FB0BCB"/>
    <w:rsid w:val="00FB1071"/>
    <w:rsid w:val="00FB17A1"/>
    <w:rsid w:val="00FB187B"/>
    <w:rsid w:val="00FB1C93"/>
    <w:rsid w:val="00FB20BA"/>
    <w:rsid w:val="00FB2140"/>
    <w:rsid w:val="00FB3137"/>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33B"/>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1"/>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2"/>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5"/>
      </w:numPr>
    </w:pPr>
    <w:rPr>
      <w:lang w:eastAsia="en-US"/>
    </w:rPr>
  </w:style>
  <w:style w:type="paragraph" w:customStyle="1" w:styleId="B3">
    <w:name w:val="B3+"/>
    <w:basedOn w:val="B30"/>
    <w:rsid w:val="00F705E1"/>
    <w:pPr>
      <w:numPr>
        <w:numId w:val="6"/>
      </w:numPr>
      <w:tabs>
        <w:tab w:val="left" w:pos="1134"/>
      </w:tabs>
    </w:pPr>
    <w:rPr>
      <w:lang w:eastAsia="en-US"/>
    </w:rPr>
  </w:style>
  <w:style w:type="paragraph" w:customStyle="1" w:styleId="BL">
    <w:name w:val="BL"/>
    <w:basedOn w:val="a1"/>
    <w:rsid w:val="00F705E1"/>
    <w:pPr>
      <w:numPr>
        <w:numId w:val="7"/>
      </w:numPr>
      <w:tabs>
        <w:tab w:val="left" w:pos="851"/>
      </w:tabs>
      <w:spacing w:before="0" w:after="180"/>
      <w:jc w:val="left"/>
    </w:pPr>
    <w:rPr>
      <w:sz w:val="20"/>
      <w:szCs w:val="20"/>
      <w:lang w:eastAsia="en-US"/>
    </w:rPr>
  </w:style>
  <w:style w:type="paragraph" w:customStyle="1" w:styleId="BN">
    <w:name w:val="BN"/>
    <w:basedOn w:val="a1"/>
    <w:rsid w:val="00F705E1"/>
    <w:pPr>
      <w:numPr>
        <w:numId w:val="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1"/>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2"/>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5"/>
      </w:numPr>
    </w:pPr>
    <w:rPr>
      <w:lang w:eastAsia="en-US"/>
    </w:rPr>
  </w:style>
  <w:style w:type="paragraph" w:customStyle="1" w:styleId="B3">
    <w:name w:val="B3+"/>
    <w:basedOn w:val="B30"/>
    <w:rsid w:val="00F705E1"/>
    <w:pPr>
      <w:numPr>
        <w:numId w:val="6"/>
      </w:numPr>
      <w:tabs>
        <w:tab w:val="left" w:pos="1134"/>
      </w:tabs>
    </w:pPr>
    <w:rPr>
      <w:lang w:eastAsia="en-US"/>
    </w:rPr>
  </w:style>
  <w:style w:type="paragraph" w:customStyle="1" w:styleId="BL">
    <w:name w:val="BL"/>
    <w:basedOn w:val="a1"/>
    <w:rsid w:val="00F705E1"/>
    <w:pPr>
      <w:numPr>
        <w:numId w:val="7"/>
      </w:numPr>
      <w:tabs>
        <w:tab w:val="left" w:pos="851"/>
      </w:tabs>
      <w:spacing w:before="0" w:after="180"/>
      <w:jc w:val="left"/>
    </w:pPr>
    <w:rPr>
      <w:sz w:val="20"/>
      <w:szCs w:val="20"/>
      <w:lang w:eastAsia="en-US"/>
    </w:rPr>
  </w:style>
  <w:style w:type="paragraph" w:customStyle="1" w:styleId="BN">
    <w:name w:val="BN"/>
    <w:basedOn w:val="a1"/>
    <w:rsid w:val="00F705E1"/>
    <w:pPr>
      <w:numPr>
        <w:numId w:val="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871">
      <w:bodyDiv w:val="1"/>
      <w:marLeft w:val="0"/>
      <w:marRight w:val="0"/>
      <w:marTop w:val="0"/>
      <w:marBottom w:val="0"/>
      <w:divBdr>
        <w:top w:val="none" w:sz="0" w:space="0" w:color="auto"/>
        <w:left w:val="none" w:sz="0" w:space="0" w:color="auto"/>
        <w:bottom w:val="none" w:sz="0" w:space="0" w:color="auto"/>
        <w:right w:val="none" w:sz="0" w:space="0" w:color="auto"/>
      </w:divBdr>
      <w:divsChild>
        <w:div w:id="125704564">
          <w:marLeft w:val="360"/>
          <w:marRight w:val="0"/>
          <w:marTop w:val="200"/>
          <w:marBottom w:val="180"/>
          <w:divBdr>
            <w:top w:val="none" w:sz="0" w:space="0" w:color="auto"/>
            <w:left w:val="none" w:sz="0" w:space="0" w:color="auto"/>
            <w:bottom w:val="none" w:sz="0" w:space="0" w:color="auto"/>
            <w:right w:val="none" w:sz="0" w:space="0" w:color="auto"/>
          </w:divBdr>
        </w:div>
        <w:div w:id="200635844">
          <w:marLeft w:val="360"/>
          <w:marRight w:val="0"/>
          <w:marTop w:val="200"/>
          <w:marBottom w:val="180"/>
          <w:divBdr>
            <w:top w:val="none" w:sz="0" w:space="0" w:color="auto"/>
            <w:left w:val="none" w:sz="0" w:space="0" w:color="auto"/>
            <w:bottom w:val="none" w:sz="0" w:space="0" w:color="auto"/>
            <w:right w:val="none" w:sz="0" w:space="0" w:color="auto"/>
          </w:divBdr>
        </w:div>
        <w:div w:id="995184739">
          <w:marLeft w:val="1080"/>
          <w:marRight w:val="0"/>
          <w:marTop w:val="100"/>
          <w:marBottom w:val="120"/>
          <w:divBdr>
            <w:top w:val="none" w:sz="0" w:space="0" w:color="auto"/>
            <w:left w:val="none" w:sz="0" w:space="0" w:color="auto"/>
            <w:bottom w:val="none" w:sz="0" w:space="0" w:color="auto"/>
            <w:right w:val="none" w:sz="0" w:space="0" w:color="auto"/>
          </w:divBdr>
        </w:div>
        <w:div w:id="1113791629">
          <w:marLeft w:val="1080"/>
          <w:marRight w:val="0"/>
          <w:marTop w:val="100"/>
          <w:marBottom w:val="120"/>
          <w:divBdr>
            <w:top w:val="none" w:sz="0" w:space="0" w:color="auto"/>
            <w:left w:val="none" w:sz="0" w:space="0" w:color="auto"/>
            <w:bottom w:val="none" w:sz="0" w:space="0" w:color="auto"/>
            <w:right w:val="none" w:sz="0" w:space="0" w:color="auto"/>
          </w:divBdr>
        </w:div>
        <w:div w:id="1873489880">
          <w:marLeft w:val="1080"/>
          <w:marRight w:val="0"/>
          <w:marTop w:val="100"/>
          <w:marBottom w:val="12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2934546">
      <w:bodyDiv w:val="1"/>
      <w:marLeft w:val="0"/>
      <w:marRight w:val="0"/>
      <w:marTop w:val="0"/>
      <w:marBottom w:val="0"/>
      <w:divBdr>
        <w:top w:val="none" w:sz="0" w:space="0" w:color="auto"/>
        <w:left w:val="none" w:sz="0" w:space="0" w:color="auto"/>
        <w:bottom w:val="none" w:sz="0" w:space="0" w:color="auto"/>
        <w:right w:val="none" w:sz="0" w:space="0" w:color="auto"/>
      </w:divBdr>
      <w:divsChild>
        <w:div w:id="413749180">
          <w:marLeft w:val="1080"/>
          <w:marRight w:val="0"/>
          <w:marTop w:val="100"/>
          <w:marBottom w:val="120"/>
          <w:divBdr>
            <w:top w:val="none" w:sz="0" w:space="0" w:color="auto"/>
            <w:left w:val="none" w:sz="0" w:space="0" w:color="auto"/>
            <w:bottom w:val="none" w:sz="0" w:space="0" w:color="auto"/>
            <w:right w:val="none" w:sz="0" w:space="0" w:color="auto"/>
          </w:divBdr>
        </w:div>
        <w:div w:id="531961077">
          <w:marLeft w:val="360"/>
          <w:marRight w:val="0"/>
          <w:marTop w:val="200"/>
          <w:marBottom w:val="180"/>
          <w:divBdr>
            <w:top w:val="none" w:sz="0" w:space="0" w:color="auto"/>
            <w:left w:val="none" w:sz="0" w:space="0" w:color="auto"/>
            <w:bottom w:val="none" w:sz="0" w:space="0" w:color="auto"/>
            <w:right w:val="none" w:sz="0" w:space="0" w:color="auto"/>
          </w:divBdr>
        </w:div>
        <w:div w:id="883174633">
          <w:marLeft w:val="1080"/>
          <w:marRight w:val="0"/>
          <w:marTop w:val="100"/>
          <w:marBottom w:val="120"/>
          <w:divBdr>
            <w:top w:val="none" w:sz="0" w:space="0" w:color="auto"/>
            <w:left w:val="none" w:sz="0" w:space="0" w:color="auto"/>
            <w:bottom w:val="none" w:sz="0" w:space="0" w:color="auto"/>
            <w:right w:val="none" w:sz="0" w:space="0" w:color="auto"/>
          </w:divBdr>
        </w:div>
        <w:div w:id="1242251736">
          <w:marLeft w:val="1080"/>
          <w:marRight w:val="0"/>
          <w:marTop w:val="100"/>
          <w:marBottom w:val="120"/>
          <w:divBdr>
            <w:top w:val="none" w:sz="0" w:space="0" w:color="auto"/>
            <w:left w:val="none" w:sz="0" w:space="0" w:color="auto"/>
            <w:bottom w:val="none" w:sz="0" w:space="0" w:color="auto"/>
            <w:right w:val="none" w:sz="0" w:space="0" w:color="auto"/>
          </w:divBdr>
        </w:div>
        <w:div w:id="1526014704">
          <w:marLeft w:val="1080"/>
          <w:marRight w:val="0"/>
          <w:marTop w:val="100"/>
          <w:marBottom w:val="120"/>
          <w:divBdr>
            <w:top w:val="none" w:sz="0" w:space="0" w:color="auto"/>
            <w:left w:val="none" w:sz="0" w:space="0" w:color="auto"/>
            <w:bottom w:val="none" w:sz="0" w:space="0" w:color="auto"/>
            <w:right w:val="none" w:sz="0" w:space="0" w:color="auto"/>
          </w:divBdr>
        </w:div>
        <w:div w:id="1883902922">
          <w:marLeft w:val="360"/>
          <w:marRight w:val="0"/>
          <w:marTop w:val="200"/>
          <w:marBottom w:val="180"/>
          <w:divBdr>
            <w:top w:val="none" w:sz="0" w:space="0" w:color="auto"/>
            <w:left w:val="none" w:sz="0" w:space="0" w:color="auto"/>
            <w:bottom w:val="none" w:sz="0" w:space="0" w:color="auto"/>
            <w:right w:val="none" w:sz="0" w:space="0" w:color="auto"/>
          </w:divBdr>
        </w:div>
      </w:divsChild>
    </w:div>
    <w:div w:id="336427028">
      <w:bodyDiv w:val="1"/>
      <w:marLeft w:val="0"/>
      <w:marRight w:val="0"/>
      <w:marTop w:val="0"/>
      <w:marBottom w:val="0"/>
      <w:divBdr>
        <w:top w:val="none" w:sz="0" w:space="0" w:color="auto"/>
        <w:left w:val="none" w:sz="0" w:space="0" w:color="auto"/>
        <w:bottom w:val="none" w:sz="0" w:space="0" w:color="auto"/>
        <w:right w:val="none" w:sz="0" w:space="0" w:color="auto"/>
      </w:divBdr>
      <w:divsChild>
        <w:div w:id="450053730">
          <w:marLeft w:val="2520"/>
          <w:marRight w:val="0"/>
          <w:marTop w:val="100"/>
          <w:marBottom w:val="120"/>
          <w:divBdr>
            <w:top w:val="none" w:sz="0" w:space="0" w:color="auto"/>
            <w:left w:val="none" w:sz="0" w:space="0" w:color="auto"/>
            <w:bottom w:val="none" w:sz="0" w:space="0" w:color="auto"/>
            <w:right w:val="none" w:sz="0" w:space="0" w:color="auto"/>
          </w:divBdr>
        </w:div>
        <w:div w:id="847712312">
          <w:marLeft w:val="1080"/>
          <w:marRight w:val="0"/>
          <w:marTop w:val="100"/>
          <w:marBottom w:val="120"/>
          <w:divBdr>
            <w:top w:val="none" w:sz="0" w:space="0" w:color="auto"/>
            <w:left w:val="none" w:sz="0" w:space="0" w:color="auto"/>
            <w:bottom w:val="none" w:sz="0" w:space="0" w:color="auto"/>
            <w:right w:val="none" w:sz="0" w:space="0" w:color="auto"/>
          </w:divBdr>
        </w:div>
        <w:div w:id="923730431">
          <w:marLeft w:val="1987"/>
          <w:marRight w:val="0"/>
          <w:marTop w:val="100"/>
          <w:marBottom w:val="120"/>
          <w:divBdr>
            <w:top w:val="none" w:sz="0" w:space="0" w:color="auto"/>
            <w:left w:val="none" w:sz="0" w:space="0" w:color="auto"/>
            <w:bottom w:val="none" w:sz="0" w:space="0" w:color="auto"/>
            <w:right w:val="none" w:sz="0" w:space="0" w:color="auto"/>
          </w:divBdr>
        </w:div>
        <w:div w:id="1081633377">
          <w:marLeft w:val="360"/>
          <w:marRight w:val="0"/>
          <w:marTop w:val="200"/>
          <w:marBottom w:val="180"/>
          <w:divBdr>
            <w:top w:val="none" w:sz="0" w:space="0" w:color="auto"/>
            <w:left w:val="none" w:sz="0" w:space="0" w:color="auto"/>
            <w:bottom w:val="none" w:sz="0" w:space="0" w:color="auto"/>
            <w:right w:val="none" w:sz="0" w:space="0" w:color="auto"/>
          </w:divBdr>
        </w:div>
        <w:div w:id="1180049147">
          <w:marLeft w:val="1987"/>
          <w:marRight w:val="0"/>
          <w:marTop w:val="100"/>
          <w:marBottom w:val="120"/>
          <w:divBdr>
            <w:top w:val="none" w:sz="0" w:space="0" w:color="auto"/>
            <w:left w:val="none" w:sz="0" w:space="0" w:color="auto"/>
            <w:bottom w:val="none" w:sz="0" w:space="0" w:color="auto"/>
            <w:right w:val="none" w:sz="0" w:space="0" w:color="auto"/>
          </w:divBdr>
        </w:div>
        <w:div w:id="1777362165">
          <w:marLeft w:val="1080"/>
          <w:marRight w:val="0"/>
          <w:marTop w:val="100"/>
          <w:marBottom w:val="120"/>
          <w:divBdr>
            <w:top w:val="none" w:sz="0" w:space="0" w:color="auto"/>
            <w:left w:val="none" w:sz="0" w:space="0" w:color="auto"/>
            <w:bottom w:val="none" w:sz="0" w:space="0" w:color="auto"/>
            <w:right w:val="none" w:sz="0" w:space="0" w:color="auto"/>
          </w:divBdr>
        </w:div>
        <w:div w:id="1806853563">
          <w:marLeft w:val="1987"/>
          <w:marRight w:val="0"/>
          <w:marTop w:val="100"/>
          <w:marBottom w:val="120"/>
          <w:divBdr>
            <w:top w:val="none" w:sz="0" w:space="0" w:color="auto"/>
            <w:left w:val="none" w:sz="0" w:space="0" w:color="auto"/>
            <w:bottom w:val="none" w:sz="0" w:space="0" w:color="auto"/>
            <w:right w:val="none" w:sz="0" w:space="0" w:color="auto"/>
          </w:divBdr>
        </w:div>
        <w:div w:id="1988892938">
          <w:marLeft w:val="360"/>
          <w:marRight w:val="0"/>
          <w:marTop w:val="200"/>
          <w:marBottom w:val="180"/>
          <w:divBdr>
            <w:top w:val="none" w:sz="0" w:space="0" w:color="auto"/>
            <w:left w:val="none" w:sz="0" w:space="0" w:color="auto"/>
            <w:bottom w:val="none" w:sz="0" w:space="0" w:color="auto"/>
            <w:right w:val="none" w:sz="0" w:space="0" w:color="auto"/>
          </w:divBdr>
        </w:div>
        <w:div w:id="2135556847">
          <w:marLeft w:val="1800"/>
          <w:marRight w:val="0"/>
          <w:marTop w:val="100"/>
          <w:marBottom w:val="120"/>
          <w:divBdr>
            <w:top w:val="none" w:sz="0" w:space="0" w:color="auto"/>
            <w:left w:val="none" w:sz="0" w:space="0" w:color="auto"/>
            <w:bottom w:val="none" w:sz="0" w:space="0" w:color="auto"/>
            <w:right w:val="none" w:sz="0" w:space="0" w:color="auto"/>
          </w:divBdr>
        </w:div>
        <w:div w:id="2135981525">
          <w:marLeft w:val="2520"/>
          <w:marRight w:val="0"/>
          <w:marTop w:val="100"/>
          <w:marBottom w:val="12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363873841">
      <w:bodyDiv w:val="1"/>
      <w:marLeft w:val="0"/>
      <w:marRight w:val="0"/>
      <w:marTop w:val="0"/>
      <w:marBottom w:val="0"/>
      <w:divBdr>
        <w:top w:val="none" w:sz="0" w:space="0" w:color="auto"/>
        <w:left w:val="none" w:sz="0" w:space="0" w:color="auto"/>
        <w:bottom w:val="none" w:sz="0" w:space="0" w:color="auto"/>
        <w:right w:val="none" w:sz="0" w:space="0" w:color="auto"/>
      </w:divBdr>
      <w:divsChild>
        <w:div w:id="264769301">
          <w:marLeft w:val="360"/>
          <w:marRight w:val="0"/>
          <w:marTop w:val="200"/>
          <w:marBottom w:val="180"/>
          <w:divBdr>
            <w:top w:val="none" w:sz="0" w:space="0" w:color="auto"/>
            <w:left w:val="none" w:sz="0" w:space="0" w:color="auto"/>
            <w:bottom w:val="none" w:sz="0" w:space="0" w:color="auto"/>
            <w:right w:val="none" w:sz="0" w:space="0" w:color="auto"/>
          </w:divBdr>
        </w:div>
        <w:div w:id="590897823">
          <w:marLeft w:val="1080"/>
          <w:marRight w:val="0"/>
          <w:marTop w:val="100"/>
          <w:marBottom w:val="120"/>
          <w:divBdr>
            <w:top w:val="none" w:sz="0" w:space="0" w:color="auto"/>
            <w:left w:val="none" w:sz="0" w:space="0" w:color="auto"/>
            <w:bottom w:val="none" w:sz="0" w:space="0" w:color="auto"/>
            <w:right w:val="none" w:sz="0" w:space="0" w:color="auto"/>
          </w:divBdr>
        </w:div>
        <w:div w:id="656149438">
          <w:marLeft w:val="360"/>
          <w:marRight w:val="0"/>
          <w:marTop w:val="200"/>
          <w:marBottom w:val="180"/>
          <w:divBdr>
            <w:top w:val="none" w:sz="0" w:space="0" w:color="auto"/>
            <w:left w:val="none" w:sz="0" w:space="0" w:color="auto"/>
            <w:bottom w:val="none" w:sz="0" w:space="0" w:color="auto"/>
            <w:right w:val="none" w:sz="0" w:space="0" w:color="auto"/>
          </w:divBdr>
        </w:div>
        <w:div w:id="1964732124">
          <w:marLeft w:val="1080"/>
          <w:marRight w:val="0"/>
          <w:marTop w:val="100"/>
          <w:marBottom w:val="120"/>
          <w:divBdr>
            <w:top w:val="none" w:sz="0" w:space="0" w:color="auto"/>
            <w:left w:val="none" w:sz="0" w:space="0" w:color="auto"/>
            <w:bottom w:val="none" w:sz="0" w:space="0" w:color="auto"/>
            <w:right w:val="none" w:sz="0" w:space="0" w:color="auto"/>
          </w:divBdr>
        </w:div>
        <w:div w:id="2139495774">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4292916">
      <w:bodyDiv w:val="1"/>
      <w:marLeft w:val="0"/>
      <w:marRight w:val="0"/>
      <w:marTop w:val="0"/>
      <w:marBottom w:val="0"/>
      <w:divBdr>
        <w:top w:val="none" w:sz="0" w:space="0" w:color="auto"/>
        <w:left w:val="none" w:sz="0" w:space="0" w:color="auto"/>
        <w:bottom w:val="none" w:sz="0" w:space="0" w:color="auto"/>
        <w:right w:val="none" w:sz="0" w:space="0" w:color="auto"/>
      </w:divBdr>
      <w:divsChild>
        <w:div w:id="318971469">
          <w:marLeft w:val="360"/>
          <w:marRight w:val="0"/>
          <w:marTop w:val="200"/>
          <w:marBottom w:val="180"/>
          <w:divBdr>
            <w:top w:val="none" w:sz="0" w:space="0" w:color="auto"/>
            <w:left w:val="none" w:sz="0" w:space="0" w:color="auto"/>
            <w:bottom w:val="none" w:sz="0" w:space="0" w:color="auto"/>
            <w:right w:val="none" w:sz="0" w:space="0" w:color="auto"/>
          </w:divBdr>
        </w:div>
        <w:div w:id="525024384">
          <w:marLeft w:val="1080"/>
          <w:marRight w:val="0"/>
          <w:marTop w:val="100"/>
          <w:marBottom w:val="120"/>
          <w:divBdr>
            <w:top w:val="none" w:sz="0" w:space="0" w:color="auto"/>
            <w:left w:val="none" w:sz="0" w:space="0" w:color="auto"/>
            <w:bottom w:val="none" w:sz="0" w:space="0" w:color="auto"/>
            <w:right w:val="none" w:sz="0" w:space="0" w:color="auto"/>
          </w:divBdr>
        </w:div>
        <w:div w:id="1112096356">
          <w:marLeft w:val="360"/>
          <w:marRight w:val="0"/>
          <w:marTop w:val="200"/>
          <w:marBottom w:val="180"/>
          <w:divBdr>
            <w:top w:val="none" w:sz="0" w:space="0" w:color="auto"/>
            <w:left w:val="none" w:sz="0" w:space="0" w:color="auto"/>
            <w:bottom w:val="none" w:sz="0" w:space="0" w:color="auto"/>
            <w:right w:val="none" w:sz="0" w:space="0" w:color="auto"/>
          </w:divBdr>
        </w:div>
        <w:div w:id="1977908816">
          <w:marLeft w:val="1080"/>
          <w:marRight w:val="0"/>
          <w:marTop w:val="100"/>
          <w:marBottom w:val="120"/>
          <w:divBdr>
            <w:top w:val="none" w:sz="0" w:space="0" w:color="auto"/>
            <w:left w:val="none" w:sz="0" w:space="0" w:color="auto"/>
            <w:bottom w:val="none" w:sz="0" w:space="0" w:color="auto"/>
            <w:right w:val="none" w:sz="0" w:space="0" w:color="auto"/>
          </w:divBdr>
        </w:div>
        <w:div w:id="2019650865">
          <w:marLeft w:val="1080"/>
          <w:marRight w:val="0"/>
          <w:marTop w:val="100"/>
          <w:marBottom w:val="12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6594938">
      <w:bodyDiv w:val="1"/>
      <w:marLeft w:val="0"/>
      <w:marRight w:val="0"/>
      <w:marTop w:val="0"/>
      <w:marBottom w:val="0"/>
      <w:divBdr>
        <w:top w:val="none" w:sz="0" w:space="0" w:color="auto"/>
        <w:left w:val="none" w:sz="0" w:space="0" w:color="auto"/>
        <w:bottom w:val="none" w:sz="0" w:space="0" w:color="auto"/>
        <w:right w:val="none" w:sz="0" w:space="0" w:color="auto"/>
      </w:divBdr>
      <w:divsChild>
        <w:div w:id="233779453">
          <w:marLeft w:val="1080"/>
          <w:marRight w:val="0"/>
          <w:marTop w:val="100"/>
          <w:marBottom w:val="120"/>
          <w:divBdr>
            <w:top w:val="none" w:sz="0" w:space="0" w:color="auto"/>
            <w:left w:val="none" w:sz="0" w:space="0" w:color="auto"/>
            <w:bottom w:val="none" w:sz="0" w:space="0" w:color="auto"/>
            <w:right w:val="none" w:sz="0" w:space="0" w:color="auto"/>
          </w:divBdr>
        </w:div>
        <w:div w:id="565533101">
          <w:marLeft w:val="1800"/>
          <w:marRight w:val="0"/>
          <w:marTop w:val="100"/>
          <w:marBottom w:val="120"/>
          <w:divBdr>
            <w:top w:val="none" w:sz="0" w:space="0" w:color="auto"/>
            <w:left w:val="none" w:sz="0" w:space="0" w:color="auto"/>
            <w:bottom w:val="none" w:sz="0" w:space="0" w:color="auto"/>
            <w:right w:val="none" w:sz="0" w:space="0" w:color="auto"/>
          </w:divBdr>
        </w:div>
        <w:div w:id="705256028">
          <w:marLeft w:val="1080"/>
          <w:marRight w:val="0"/>
          <w:marTop w:val="100"/>
          <w:marBottom w:val="120"/>
          <w:divBdr>
            <w:top w:val="none" w:sz="0" w:space="0" w:color="auto"/>
            <w:left w:val="none" w:sz="0" w:space="0" w:color="auto"/>
            <w:bottom w:val="none" w:sz="0" w:space="0" w:color="auto"/>
            <w:right w:val="none" w:sz="0" w:space="0" w:color="auto"/>
          </w:divBdr>
        </w:div>
        <w:div w:id="789056316">
          <w:marLeft w:val="2520"/>
          <w:marRight w:val="0"/>
          <w:marTop w:val="100"/>
          <w:marBottom w:val="120"/>
          <w:divBdr>
            <w:top w:val="none" w:sz="0" w:space="0" w:color="auto"/>
            <w:left w:val="none" w:sz="0" w:space="0" w:color="auto"/>
            <w:bottom w:val="none" w:sz="0" w:space="0" w:color="auto"/>
            <w:right w:val="none" w:sz="0" w:space="0" w:color="auto"/>
          </w:divBdr>
        </w:div>
        <w:div w:id="816263454">
          <w:marLeft w:val="1080"/>
          <w:marRight w:val="0"/>
          <w:marTop w:val="100"/>
          <w:marBottom w:val="120"/>
          <w:divBdr>
            <w:top w:val="none" w:sz="0" w:space="0" w:color="auto"/>
            <w:left w:val="none" w:sz="0" w:space="0" w:color="auto"/>
            <w:bottom w:val="none" w:sz="0" w:space="0" w:color="auto"/>
            <w:right w:val="none" w:sz="0" w:space="0" w:color="auto"/>
          </w:divBdr>
        </w:div>
        <w:div w:id="954681412">
          <w:marLeft w:val="1800"/>
          <w:marRight w:val="0"/>
          <w:marTop w:val="100"/>
          <w:marBottom w:val="120"/>
          <w:divBdr>
            <w:top w:val="none" w:sz="0" w:space="0" w:color="auto"/>
            <w:left w:val="none" w:sz="0" w:space="0" w:color="auto"/>
            <w:bottom w:val="none" w:sz="0" w:space="0" w:color="auto"/>
            <w:right w:val="none" w:sz="0" w:space="0" w:color="auto"/>
          </w:divBdr>
        </w:div>
        <w:div w:id="1435008147">
          <w:marLeft w:val="2520"/>
          <w:marRight w:val="0"/>
          <w:marTop w:val="100"/>
          <w:marBottom w:val="120"/>
          <w:divBdr>
            <w:top w:val="none" w:sz="0" w:space="0" w:color="auto"/>
            <w:left w:val="none" w:sz="0" w:space="0" w:color="auto"/>
            <w:bottom w:val="none" w:sz="0" w:space="0" w:color="auto"/>
            <w:right w:val="none" w:sz="0" w:space="0" w:color="auto"/>
          </w:divBdr>
        </w:div>
        <w:div w:id="1506162598">
          <w:marLeft w:val="1080"/>
          <w:marRight w:val="0"/>
          <w:marTop w:val="100"/>
          <w:marBottom w:val="120"/>
          <w:divBdr>
            <w:top w:val="none" w:sz="0" w:space="0" w:color="auto"/>
            <w:left w:val="none" w:sz="0" w:space="0" w:color="auto"/>
            <w:bottom w:val="none" w:sz="0" w:space="0" w:color="auto"/>
            <w:right w:val="none" w:sz="0" w:space="0" w:color="auto"/>
          </w:divBdr>
        </w:div>
        <w:div w:id="1719625476">
          <w:marLeft w:val="1800"/>
          <w:marRight w:val="0"/>
          <w:marTop w:val="100"/>
          <w:marBottom w:val="120"/>
          <w:divBdr>
            <w:top w:val="none" w:sz="0" w:space="0" w:color="auto"/>
            <w:left w:val="none" w:sz="0" w:space="0" w:color="auto"/>
            <w:bottom w:val="none" w:sz="0" w:space="0" w:color="auto"/>
            <w:right w:val="none" w:sz="0" w:space="0" w:color="auto"/>
          </w:divBdr>
        </w:div>
        <w:div w:id="1807118259">
          <w:marLeft w:val="360"/>
          <w:marRight w:val="0"/>
          <w:marTop w:val="200"/>
          <w:marBottom w:val="180"/>
          <w:divBdr>
            <w:top w:val="none" w:sz="0" w:space="0" w:color="auto"/>
            <w:left w:val="none" w:sz="0" w:space="0" w:color="auto"/>
            <w:bottom w:val="none" w:sz="0" w:space="0" w:color="auto"/>
            <w:right w:val="none" w:sz="0" w:space="0" w:color="auto"/>
          </w:divBdr>
        </w:div>
        <w:div w:id="1941907304">
          <w:marLeft w:val="360"/>
          <w:marRight w:val="0"/>
          <w:marTop w:val="200"/>
          <w:marBottom w:val="180"/>
          <w:divBdr>
            <w:top w:val="none" w:sz="0" w:space="0" w:color="auto"/>
            <w:left w:val="none" w:sz="0" w:space="0" w:color="auto"/>
            <w:bottom w:val="none" w:sz="0" w:space="0" w:color="auto"/>
            <w:right w:val="none" w:sz="0" w:space="0" w:color="auto"/>
          </w:divBdr>
        </w:div>
        <w:div w:id="2091997490">
          <w:marLeft w:val="2520"/>
          <w:marRight w:val="0"/>
          <w:marTop w:val="100"/>
          <w:marBottom w:val="12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076102">
      <w:bodyDiv w:val="1"/>
      <w:marLeft w:val="0"/>
      <w:marRight w:val="0"/>
      <w:marTop w:val="0"/>
      <w:marBottom w:val="0"/>
      <w:divBdr>
        <w:top w:val="none" w:sz="0" w:space="0" w:color="auto"/>
        <w:left w:val="none" w:sz="0" w:space="0" w:color="auto"/>
        <w:bottom w:val="none" w:sz="0" w:space="0" w:color="auto"/>
        <w:right w:val="none" w:sz="0" w:space="0" w:color="auto"/>
      </w:divBdr>
      <w:divsChild>
        <w:div w:id="94787319">
          <w:marLeft w:val="360"/>
          <w:marRight w:val="0"/>
          <w:marTop w:val="200"/>
          <w:marBottom w:val="180"/>
          <w:divBdr>
            <w:top w:val="none" w:sz="0" w:space="0" w:color="auto"/>
            <w:left w:val="none" w:sz="0" w:space="0" w:color="auto"/>
            <w:bottom w:val="none" w:sz="0" w:space="0" w:color="auto"/>
            <w:right w:val="none" w:sz="0" w:space="0" w:color="auto"/>
          </w:divBdr>
        </w:div>
        <w:div w:id="892501583">
          <w:marLeft w:val="1080"/>
          <w:marRight w:val="0"/>
          <w:marTop w:val="100"/>
          <w:marBottom w:val="120"/>
          <w:divBdr>
            <w:top w:val="none" w:sz="0" w:space="0" w:color="auto"/>
            <w:left w:val="none" w:sz="0" w:space="0" w:color="auto"/>
            <w:bottom w:val="none" w:sz="0" w:space="0" w:color="auto"/>
            <w:right w:val="none" w:sz="0" w:space="0" w:color="auto"/>
          </w:divBdr>
        </w:div>
        <w:div w:id="1412774628">
          <w:marLeft w:val="1080"/>
          <w:marRight w:val="0"/>
          <w:marTop w:val="100"/>
          <w:marBottom w:val="120"/>
          <w:divBdr>
            <w:top w:val="none" w:sz="0" w:space="0" w:color="auto"/>
            <w:left w:val="none" w:sz="0" w:space="0" w:color="auto"/>
            <w:bottom w:val="none" w:sz="0" w:space="0" w:color="auto"/>
            <w:right w:val="none" w:sz="0" w:space="0" w:color="auto"/>
          </w:divBdr>
        </w:div>
        <w:div w:id="1656762653">
          <w:marLeft w:val="1080"/>
          <w:marRight w:val="0"/>
          <w:marTop w:val="100"/>
          <w:marBottom w:val="120"/>
          <w:divBdr>
            <w:top w:val="none" w:sz="0" w:space="0" w:color="auto"/>
            <w:left w:val="none" w:sz="0" w:space="0" w:color="auto"/>
            <w:bottom w:val="none" w:sz="0" w:space="0" w:color="auto"/>
            <w:right w:val="none" w:sz="0" w:space="0" w:color="auto"/>
          </w:divBdr>
        </w:div>
        <w:div w:id="2135368226">
          <w:marLeft w:val="360"/>
          <w:marRight w:val="0"/>
          <w:marTop w:val="200"/>
          <w:marBottom w:val="18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2827691">
      <w:bodyDiv w:val="1"/>
      <w:marLeft w:val="0"/>
      <w:marRight w:val="0"/>
      <w:marTop w:val="0"/>
      <w:marBottom w:val="0"/>
      <w:divBdr>
        <w:top w:val="none" w:sz="0" w:space="0" w:color="auto"/>
        <w:left w:val="none" w:sz="0" w:space="0" w:color="auto"/>
        <w:bottom w:val="none" w:sz="0" w:space="0" w:color="auto"/>
        <w:right w:val="none" w:sz="0" w:space="0" w:color="auto"/>
      </w:divBdr>
      <w:divsChild>
        <w:div w:id="36592231">
          <w:marLeft w:val="360"/>
          <w:marRight w:val="0"/>
          <w:marTop w:val="200"/>
          <w:marBottom w:val="180"/>
          <w:divBdr>
            <w:top w:val="none" w:sz="0" w:space="0" w:color="auto"/>
            <w:left w:val="none" w:sz="0" w:space="0" w:color="auto"/>
            <w:bottom w:val="none" w:sz="0" w:space="0" w:color="auto"/>
            <w:right w:val="none" w:sz="0" w:space="0" w:color="auto"/>
          </w:divBdr>
        </w:div>
        <w:div w:id="373581003">
          <w:marLeft w:val="1080"/>
          <w:marRight w:val="0"/>
          <w:marTop w:val="100"/>
          <w:marBottom w:val="120"/>
          <w:divBdr>
            <w:top w:val="none" w:sz="0" w:space="0" w:color="auto"/>
            <w:left w:val="none" w:sz="0" w:space="0" w:color="auto"/>
            <w:bottom w:val="none" w:sz="0" w:space="0" w:color="auto"/>
            <w:right w:val="none" w:sz="0" w:space="0" w:color="auto"/>
          </w:divBdr>
        </w:div>
        <w:div w:id="739985057">
          <w:marLeft w:val="1080"/>
          <w:marRight w:val="0"/>
          <w:marTop w:val="100"/>
          <w:marBottom w:val="120"/>
          <w:divBdr>
            <w:top w:val="none" w:sz="0" w:space="0" w:color="auto"/>
            <w:left w:val="none" w:sz="0" w:space="0" w:color="auto"/>
            <w:bottom w:val="none" w:sz="0" w:space="0" w:color="auto"/>
            <w:right w:val="none" w:sz="0" w:space="0" w:color="auto"/>
          </w:divBdr>
        </w:div>
        <w:div w:id="923302116">
          <w:marLeft w:val="360"/>
          <w:marRight w:val="0"/>
          <w:marTop w:val="200"/>
          <w:marBottom w:val="180"/>
          <w:divBdr>
            <w:top w:val="none" w:sz="0" w:space="0" w:color="auto"/>
            <w:left w:val="none" w:sz="0" w:space="0" w:color="auto"/>
            <w:bottom w:val="none" w:sz="0" w:space="0" w:color="auto"/>
            <w:right w:val="none" w:sz="0" w:space="0" w:color="auto"/>
          </w:divBdr>
        </w:div>
        <w:div w:id="1940018057">
          <w:marLeft w:val="1080"/>
          <w:marRight w:val="0"/>
          <w:marTop w:val="100"/>
          <w:marBottom w:val="12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3691229">
      <w:bodyDiv w:val="1"/>
      <w:marLeft w:val="0"/>
      <w:marRight w:val="0"/>
      <w:marTop w:val="0"/>
      <w:marBottom w:val="0"/>
      <w:divBdr>
        <w:top w:val="none" w:sz="0" w:space="0" w:color="auto"/>
        <w:left w:val="none" w:sz="0" w:space="0" w:color="auto"/>
        <w:bottom w:val="none" w:sz="0" w:space="0" w:color="auto"/>
        <w:right w:val="none" w:sz="0" w:space="0" w:color="auto"/>
      </w:divBdr>
      <w:divsChild>
        <w:div w:id="477037195">
          <w:marLeft w:val="360"/>
          <w:marRight w:val="0"/>
          <w:marTop w:val="200"/>
          <w:marBottom w:val="180"/>
          <w:divBdr>
            <w:top w:val="none" w:sz="0" w:space="0" w:color="auto"/>
            <w:left w:val="none" w:sz="0" w:space="0" w:color="auto"/>
            <w:bottom w:val="none" w:sz="0" w:space="0" w:color="auto"/>
            <w:right w:val="none" w:sz="0" w:space="0" w:color="auto"/>
          </w:divBdr>
        </w:div>
        <w:div w:id="1765029834">
          <w:marLeft w:val="1080"/>
          <w:marRight w:val="0"/>
          <w:marTop w:val="100"/>
          <w:marBottom w:val="12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4411816">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9692971">
      <w:bodyDiv w:val="1"/>
      <w:marLeft w:val="0"/>
      <w:marRight w:val="0"/>
      <w:marTop w:val="0"/>
      <w:marBottom w:val="0"/>
      <w:divBdr>
        <w:top w:val="none" w:sz="0" w:space="0" w:color="auto"/>
        <w:left w:val="none" w:sz="0" w:space="0" w:color="auto"/>
        <w:bottom w:val="none" w:sz="0" w:space="0" w:color="auto"/>
        <w:right w:val="none" w:sz="0" w:space="0" w:color="auto"/>
      </w:divBdr>
      <w:divsChild>
        <w:div w:id="359940080">
          <w:marLeft w:val="1080"/>
          <w:marRight w:val="0"/>
          <w:marTop w:val="100"/>
          <w:marBottom w:val="120"/>
          <w:divBdr>
            <w:top w:val="none" w:sz="0" w:space="0" w:color="auto"/>
            <w:left w:val="none" w:sz="0" w:space="0" w:color="auto"/>
            <w:bottom w:val="none" w:sz="0" w:space="0" w:color="auto"/>
            <w:right w:val="none" w:sz="0" w:space="0" w:color="auto"/>
          </w:divBdr>
        </w:div>
        <w:div w:id="386950469">
          <w:marLeft w:val="1080"/>
          <w:marRight w:val="0"/>
          <w:marTop w:val="100"/>
          <w:marBottom w:val="120"/>
          <w:divBdr>
            <w:top w:val="none" w:sz="0" w:space="0" w:color="auto"/>
            <w:left w:val="none" w:sz="0" w:space="0" w:color="auto"/>
            <w:bottom w:val="none" w:sz="0" w:space="0" w:color="auto"/>
            <w:right w:val="none" w:sz="0" w:space="0" w:color="auto"/>
          </w:divBdr>
        </w:div>
        <w:div w:id="506678035">
          <w:marLeft w:val="360"/>
          <w:marRight w:val="0"/>
          <w:marTop w:val="200"/>
          <w:marBottom w:val="180"/>
          <w:divBdr>
            <w:top w:val="none" w:sz="0" w:space="0" w:color="auto"/>
            <w:left w:val="none" w:sz="0" w:space="0" w:color="auto"/>
            <w:bottom w:val="none" w:sz="0" w:space="0" w:color="auto"/>
            <w:right w:val="none" w:sz="0" w:space="0" w:color="auto"/>
          </w:divBdr>
        </w:div>
        <w:div w:id="1531645763">
          <w:marLeft w:val="1080"/>
          <w:marRight w:val="0"/>
          <w:marTop w:val="100"/>
          <w:marBottom w:val="120"/>
          <w:divBdr>
            <w:top w:val="none" w:sz="0" w:space="0" w:color="auto"/>
            <w:left w:val="none" w:sz="0" w:space="0" w:color="auto"/>
            <w:bottom w:val="none" w:sz="0" w:space="0" w:color="auto"/>
            <w:right w:val="none" w:sz="0" w:space="0" w:color="auto"/>
          </w:divBdr>
        </w:div>
        <w:div w:id="1585803780">
          <w:marLeft w:val="360"/>
          <w:marRight w:val="0"/>
          <w:marTop w:val="20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D86F6-28CF-4A1A-B7C2-C6FF192A5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5362</TotalTime>
  <Pages>3</Pages>
  <Words>706</Words>
  <Characters>4028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4725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165</cp:revision>
  <cp:lastPrinted>2007-04-24T00:59:00Z</cp:lastPrinted>
  <dcterms:created xsi:type="dcterms:W3CDTF">2020-04-09T06:55:00Z</dcterms:created>
  <dcterms:modified xsi:type="dcterms:W3CDTF">2022-01-10T11:15:00Z</dcterms:modified>
</cp:coreProperties>
</file>